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0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договор №_____</w:t>
        <w:br w:type="textWrapping" w:clear="all"/>
      </w:r>
      <w:r>
        <w:rPr>
          <w:b/>
          <w:bCs/>
          <w:caps/>
          <w:sz w:val="24"/>
        </w:rPr>
        <w:t xml:space="preserve">ОБ ОРГАНИЗАЦИИ </w:t>
      </w:r>
      <w:r>
        <w:rPr>
          <w:b/>
          <w:bCs/>
          <w:caps/>
          <w:sz w:val="24"/>
        </w:rPr>
        <w:t xml:space="preserve">обязательного</w:t>
      </w:r>
      <w:r>
        <w:rPr>
          <w:b/>
          <w:bCs/>
          <w:caps/>
          <w:sz w:val="24"/>
        </w:rPr>
        <w:t xml:space="preserve"> </w:t>
      </w:r>
      <w:r>
        <w:rPr>
          <w:b/>
          <w:bCs/>
          <w:caps/>
          <w:sz w:val="24"/>
        </w:rPr>
        <w:t xml:space="preserve">страхования гражданской ответственности владельцев транспортных средств </w:t>
      </w:r>
      <w:r>
        <w:rPr>
          <w:b/>
          <w:bCs/>
          <w:caps/>
          <w:sz w:val="24"/>
        </w:rPr>
      </w:r>
      <w:r>
        <w:rPr>
          <w:b/>
          <w:bCs/>
          <w:caps/>
          <w:sz w:val="24"/>
        </w:rPr>
      </w:r>
    </w:p>
    <w:p>
      <w:pPr>
        <w:pStyle w:val="970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46"/>
        <w:keepLines/>
        <w:keepNext/>
        <w:rPr>
          <w:rFonts w:ascii="Times New Roman" w:hAnsi="Times New Roman" w:cs="Times New Roman"/>
          <w:sz w:val="24"/>
          <w:szCs w:val="24"/>
        </w:rPr>
      </w:pPr>
      <w:r/>
      <w:bookmarkStart w:id="0" w:name="_Hlt136349546"/>
      <w:r/>
      <w:bookmarkEnd w:id="0"/>
      <w:r/>
      <w:bookmarkStart w:id="1" w:name="_Toc199151015"/>
      <w:r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«___»_________20__г.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6"/>
        <w:ind w:firstLine="709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46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«Страховщик», в  лице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 w:cs="Times New Roman"/>
          <w:sz w:val="24"/>
          <w:szCs w:val="24"/>
        </w:rPr>
        <w:t xml:space="preserve">Акционерное общество «</w:t>
      </w:r>
      <w:r>
        <w:rPr>
          <w:rFonts w:ascii="Times New Roman" w:hAnsi="Times New Roman" w:cs="Times New Roman"/>
          <w:sz w:val="24"/>
          <w:szCs w:val="24"/>
        </w:rPr>
        <w:t xml:space="preserve">Россети Сибирь </w:t>
      </w:r>
      <w:r>
        <w:rPr>
          <w:rFonts w:ascii="Times New Roman" w:hAnsi="Times New Roman" w:cs="Times New Roman"/>
          <w:sz w:val="24"/>
          <w:szCs w:val="24"/>
        </w:rPr>
        <w:t xml:space="preserve">Тываэнерго», именуемое в дальнейшем «Страхователь», в лице Управляющего директора – первого заместителя генерального директора Лукина Антона Владимировича, действующего на основании доверенности № </w:t>
      </w:r>
      <w:r>
        <w:rPr>
          <w:rFonts w:ascii="Times New Roman" w:hAnsi="Times New Roman" w:cs="Times New Roman"/>
          <w:sz w:val="24"/>
          <w:szCs w:val="24"/>
        </w:rPr>
        <w:t xml:space="preserve">№ 00/227 от 01.09.2022 г.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другой стороны</w:t>
      </w:r>
      <w:r>
        <w:rPr>
          <w:rFonts w:ascii="Times New Roman" w:hAnsi="Times New Roman" w:cs="Times New Roman"/>
          <w:sz w:val="24"/>
          <w:szCs w:val="24"/>
        </w:rPr>
        <w:t xml:space="preserve">, именуемые в дальнейшем «Стороны», заключили настоящий Договор о нижеследующем: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contextualSpacing/>
        <w:ind w:left="540"/>
        <w:spacing w:after="0" w:line="240" w:lineRule="auto"/>
        <w:widowControl w:val="off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tabs>
          <w:tab w:val="num" w:pos="360" w:leader="none"/>
        </w:tabs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Общие положения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8"/>
        <w:numPr>
          <w:ilvl w:val="1"/>
          <w:numId w:val="38"/>
        </w:numPr>
        <w:ind w:left="0" w:firstLine="709"/>
        <w:spacing w:line="240" w:lineRule="auto"/>
        <w:rPr>
          <w:szCs w:val="24"/>
        </w:rPr>
      </w:pPr>
      <w:r>
        <w:rPr>
          <w:szCs w:val="24"/>
        </w:rPr>
        <w:t xml:space="preserve">Страховщик в соответствии с условиями настоящего Договора осуществляет обязательное страхование гражданской ответственности владельцев средств транспорта Страхователя в соответствии с Федеральным законом от 25.04.2002 </w:t>
      </w:r>
      <w:r>
        <w:rPr>
          <w:szCs w:val="24"/>
          <w:lang w:val="en-US"/>
        </w:rPr>
        <w:t xml:space="preserve">N</w:t>
      </w:r>
      <w:r>
        <w:rPr>
          <w:szCs w:val="24"/>
        </w:rPr>
        <w:t xml:space="preserve"> 40-ФЗ «Об обязательном страховании граж</w:t>
      </w:r>
      <w:r>
        <w:rPr>
          <w:szCs w:val="24"/>
        </w:rPr>
        <w:t xml:space="preserve">данской ответственности владельцев транспортных средств», Правилами обязательного страхования гражданской ответственности владельцев транспортных средств, утвержденными Положением Центрального Банка Российской Федерации (Банком России) от 19 сентября 2014 </w:t>
      </w:r>
      <w:r>
        <w:rPr>
          <w:szCs w:val="24"/>
          <w:lang w:val="en-US"/>
        </w:rPr>
        <w:t xml:space="preserve">N</w:t>
      </w:r>
      <w:r>
        <w:rPr>
          <w:szCs w:val="24"/>
        </w:rPr>
        <w:t xml:space="preserve"> </w:t>
      </w:r>
      <w:r>
        <w:rPr>
          <w:szCs w:val="24"/>
        </w:rPr>
        <w:t xml:space="preserve">431-П (далее - Правила, Приложение 1), и ст. 429 Гражданског</w:t>
      </w:r>
      <w:r>
        <w:rPr>
          <w:szCs w:val="24"/>
        </w:rPr>
        <w:t xml:space="preserve">о кодекса Российской Федерации. </w:t>
      </w:r>
      <w:r>
        <w:rPr>
          <w:szCs w:val="24"/>
        </w:rPr>
        <w:t xml:space="preserve">Правила ОСАГО далее именуются Правила.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 xml:space="preserve">Страховщик оформляет полисы ОСАГО</w:t>
      </w:r>
      <w:r>
        <w:rPr>
          <w:szCs w:val="24"/>
        </w:rPr>
        <w:t xml:space="preserve"> </w:t>
      </w:r>
      <w:r>
        <w:rPr>
          <w:szCs w:val="24"/>
        </w:rPr>
        <w:t xml:space="preserve">на каждое транспортное средство страхователя, указанное в заявлении Страхователя.</w:t>
      </w:r>
      <w:r>
        <w:rPr>
          <w:szCs w:val="24"/>
        </w:rPr>
      </w:r>
      <w:r>
        <w:rPr>
          <w:szCs w:val="24"/>
        </w:rPr>
      </w:r>
    </w:p>
    <w:p>
      <w:pPr>
        <w:pStyle w:val="1055"/>
        <w:contextualSpacing/>
        <w:ind w:left="54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tabs>
          <w:tab w:val="num" w:pos="36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Объект страхования, страховой случай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27"/>
        <w:ind w:left="0" w:right="-2"/>
        <w:spacing w:after="0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Объектом страхования являются имущественные интересы</w:t>
      </w:r>
      <w:r>
        <w:rPr>
          <w:szCs w:val="24"/>
        </w:rPr>
        <w:t xml:space="preserve">, связанные с риском гражданской ответственности владельцев транспортных средств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Страховым случаем признается наступление гражданской ответственности владел</w:t>
      </w:r>
      <w:r>
        <w:rPr>
          <w:szCs w:val="24"/>
        </w:rPr>
        <w:t xml:space="preserve">ьца транспортного средства за причинение вреда жизни, здоровью или имуществу потерпевших при использовании транспортного средства, влекущее за собой в соответствии с договором обязательного страхования обязанность страховщика осуществить страховую выплату.</w:t>
      </w:r>
      <w:r>
        <w:rPr>
          <w:szCs w:val="24"/>
        </w:rPr>
      </w:r>
      <w:r>
        <w:rPr>
          <w:szCs w:val="24"/>
        </w:rPr>
      </w:r>
    </w:p>
    <w:p>
      <w:pPr>
        <w:pStyle w:val="970"/>
        <w:numPr>
          <w:ilvl w:val="1"/>
          <w:numId w:val="36"/>
        </w:numPr>
        <w:ind w:left="0" w:firstLine="567"/>
        <w:rPr>
          <w:sz w:val="24"/>
        </w:rPr>
      </w:pPr>
      <w:r>
        <w:rPr>
          <w:sz w:val="24"/>
        </w:rPr>
        <w:t xml:space="preserve">Перечень транспортных средств, подлежащих страхованию, указан в приложении </w:t>
      </w:r>
      <w:r>
        <w:rPr>
          <w:sz w:val="24"/>
        </w:rPr>
        <w:t xml:space="preserve">3</w:t>
      </w:r>
      <w:r>
        <w:rPr>
          <w:sz w:val="24"/>
        </w:rPr>
        <w:t xml:space="preserve"> к настоящему Договору.</w:t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Территорией </w:t>
      </w:r>
      <w:r>
        <w:rPr>
          <w:szCs w:val="24"/>
        </w:rPr>
        <w:t xml:space="preserve">С</w:t>
      </w:r>
      <w:r>
        <w:rPr>
          <w:szCs w:val="24"/>
        </w:rPr>
        <w:t xml:space="preserve">трахования является территория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046"/>
        <w:jc w:val="center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tabs>
          <w:tab w:val="num" w:pos="36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 Страховая сумма, страховая премия и порядок ее уплаты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70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Страховая сумма, в пределах которой Страховщик обязуется при наступлении каждого страхового случая (независимо от их числа в течение срока действия Договора обязательного страхования) возместить потерпевшим причиненный вред, </w:t>
      </w:r>
      <w:r>
        <w:rPr>
          <w:szCs w:val="24"/>
        </w:rPr>
        <w:t xml:space="preserve">определяется</w:t>
      </w:r>
      <w:r>
        <w:rPr>
          <w:szCs w:val="24"/>
        </w:rPr>
        <w:t xml:space="preserve">: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0" w:firstLine="0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- в рамках покрытия полисов ОСАГО - т</w:t>
      </w:r>
      <w:r>
        <w:rPr>
          <w:szCs w:val="24"/>
        </w:rPr>
        <w:t xml:space="preserve">ребованиями Федерального Закона РФ от 25.04.2002 №40-ФЗ «Об обязательном страховании гражданской ответственности владельцев транспортных средств»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Страховая премия </w:t>
      </w:r>
      <w:r>
        <w:rPr>
          <w:szCs w:val="24"/>
        </w:rPr>
        <w:t xml:space="preserve">по</w:t>
      </w:r>
      <w:r>
        <w:rPr>
          <w:szCs w:val="24"/>
        </w:rPr>
        <w:t xml:space="preserve"> полисам</w:t>
      </w:r>
      <w:r>
        <w:rPr>
          <w:szCs w:val="24"/>
        </w:rPr>
        <w:t xml:space="preserve"> ОСАГО </w:t>
      </w:r>
      <w:r>
        <w:rPr>
          <w:szCs w:val="24"/>
        </w:rPr>
        <w:t xml:space="preserve">на каждое </w:t>
      </w:r>
      <w:r>
        <w:rPr>
          <w:szCs w:val="24"/>
        </w:rPr>
        <w:t xml:space="preserve">транспортно</w:t>
      </w:r>
      <w:r>
        <w:rPr>
          <w:szCs w:val="24"/>
        </w:rPr>
        <w:t xml:space="preserve">е</w:t>
      </w:r>
      <w:r>
        <w:rPr>
          <w:szCs w:val="24"/>
        </w:rPr>
        <w:t xml:space="preserve"> средств</w:t>
      </w:r>
      <w:r>
        <w:rPr>
          <w:szCs w:val="24"/>
        </w:rPr>
        <w:t xml:space="preserve">о</w:t>
      </w:r>
      <w:r>
        <w:rPr>
          <w:szCs w:val="24"/>
        </w:rPr>
        <w:t xml:space="preserve"> </w:t>
      </w:r>
      <w:r>
        <w:rPr>
          <w:szCs w:val="24"/>
        </w:rPr>
        <w:t xml:space="preserve">определяется в соответствии с действующими на момент оформления страхового полиса </w:t>
      </w:r>
      <w:r>
        <w:rPr>
          <w:szCs w:val="24"/>
        </w:rPr>
        <w:t xml:space="preserve">страховыми тарифами, установленными Центральным Банком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Предельный совокупный размер страховой премии по данному Договору составляет </w:t>
      </w:r>
      <w:r>
        <w:rPr>
          <w:szCs w:val="24"/>
        </w:rPr>
        <w:t xml:space="preserve">____________________________________________________________________</w:t>
      </w:r>
      <w:r>
        <w:rPr>
          <w:szCs w:val="24"/>
        </w:rPr>
        <w:t xml:space="preserve"> (</w:t>
      </w:r>
      <w:r>
        <w:rPr>
          <w:szCs w:val="24"/>
        </w:rPr>
        <w:t xml:space="preserve">___________________________</w:t>
      </w:r>
      <w:r>
        <w:rPr>
          <w:szCs w:val="24"/>
        </w:rPr>
        <w:t xml:space="preserve">) рублей </w:t>
      </w:r>
      <w:r>
        <w:rPr>
          <w:szCs w:val="24"/>
        </w:rPr>
        <w:t xml:space="preserve">__________</w:t>
      </w:r>
      <w:r>
        <w:rPr>
          <w:szCs w:val="24"/>
        </w:rPr>
        <w:t xml:space="preserve"> копеек.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0" w:firstLine="567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Размер страховой премии по каждому транспортному средству указывается в страховом полисе выдаваемым Страховщиком Страхователю.</w:t>
      </w:r>
      <w:r>
        <w:rPr>
          <w:szCs w:val="24"/>
        </w:rPr>
      </w:r>
      <w:r>
        <w:rPr>
          <w:szCs w:val="24"/>
        </w:rPr>
      </w:r>
    </w:p>
    <w:p>
      <w:pPr>
        <w:pStyle w:val="970"/>
        <w:tabs>
          <w:tab w:val="left" w:pos="9355" w:leader="none"/>
        </w:tabs>
        <w:rPr>
          <w:sz w:val="24"/>
        </w:rPr>
      </w:pPr>
      <w:r>
        <w:rPr>
          <w:sz w:val="24"/>
        </w:rPr>
        <w:t xml:space="preserve">3.4. Оплат</w:t>
      </w:r>
      <w:r>
        <w:rPr>
          <w:sz w:val="24"/>
        </w:rPr>
        <w:t xml:space="preserve">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(-ов).</w:t>
      </w:r>
      <w:r>
        <w:rPr>
          <w:sz w:val="24"/>
        </w:rPr>
      </w:r>
      <w:r>
        <w:rPr>
          <w:sz w:val="24"/>
        </w:rPr>
      </w:r>
    </w:p>
    <w:p>
      <w:pPr>
        <w:pStyle w:val="970"/>
        <w:tabs>
          <w:tab w:val="left" w:pos="9355" w:leader="none"/>
        </w:tabs>
        <w:rPr>
          <w:sz w:val="24"/>
          <w:shd w:val="clear" w:color="auto" w:fill="ffff99"/>
        </w:rPr>
      </w:pPr>
      <w:r>
        <w:rPr>
          <w:sz w:val="24"/>
        </w:rPr>
        <w:t xml:space="preserve">Оплата страховой премии производится в форме безналичного перечисления денежных средств на расчетный счет Страховщика.</w:t>
      </w:r>
      <w:r>
        <w:rPr>
          <w:sz w:val="24"/>
          <w:shd w:val="clear" w:color="auto" w:fill="ffff99"/>
        </w:rPr>
      </w:r>
      <w:r>
        <w:rPr>
          <w:sz w:val="24"/>
          <w:shd w:val="clear" w:color="auto" w:fill="ffff99"/>
        </w:rPr>
      </w:r>
    </w:p>
    <w:p>
      <w:pPr>
        <w:pStyle w:val="1058"/>
        <w:ind w:left="0" w:firstLine="567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0" w:firstLine="567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3.5. </w:t>
      </w:r>
      <w:r>
        <w:rPr>
          <w:szCs w:val="24"/>
        </w:rPr>
        <w:t xml:space="preserve">Изменение Центральным Банком Российской Федерации страховых тарифов в течение срока действия полиса ОСАГО не влечет за собой изменения страховой премии, оплаченной Страхователем по действовавшим на момент уплаты страховым тарифам.</w:t>
      </w:r>
      <w:r>
        <w:rPr>
          <w:szCs w:val="24"/>
        </w:rPr>
      </w:r>
      <w:r>
        <w:rPr>
          <w:szCs w:val="24"/>
        </w:rPr>
      </w:r>
    </w:p>
    <w:p>
      <w:pPr>
        <w:pStyle w:val="97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tabs>
          <w:tab w:val="num" w:pos="360" w:leader="none"/>
        </w:tabs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Срок действия, порядок заключения и изменения договора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8"/>
        <w:ind w:left="567" w:firstLine="0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70"/>
        <w:numPr>
          <w:ilvl w:val="1"/>
          <w:numId w:val="36"/>
        </w:numPr>
        <w:ind w:left="142" w:firstLine="425"/>
        <w:keepNext/>
        <w:tabs>
          <w:tab w:val="num" w:pos="1134" w:leader="none"/>
        </w:tabs>
        <w:rPr>
          <w:sz w:val="24"/>
        </w:rPr>
      </w:pPr>
      <w:r>
        <w:rPr>
          <w:sz w:val="24"/>
        </w:rPr>
        <w:t xml:space="preserve">Настоящий договор вступает в силу с момента его подписания сторонами и действует до момента окончания срока действия страхового полиса, выданного последним, при этом период выдачи полисов устанавливается с 00.00 часов </w:t>
      </w:r>
      <w:r>
        <w:rPr>
          <w:sz w:val="24"/>
        </w:rPr>
        <w:t xml:space="preserve">«02» апреля </w:t>
      </w:r>
      <w:r>
        <w:rPr>
          <w:sz w:val="24"/>
        </w:rPr>
        <w:t xml:space="preserve">2026</w:t>
      </w:r>
      <w:r>
        <w:rPr>
          <w:sz w:val="24"/>
        </w:rPr>
        <w:t xml:space="preserve"> по 24.00 часов </w:t>
      </w:r>
      <w:r>
        <w:rPr>
          <w:sz w:val="24"/>
        </w:rPr>
        <w:t xml:space="preserve">«</w:t>
      </w:r>
      <w:r>
        <w:rPr>
          <w:sz w:val="24"/>
        </w:rPr>
        <w:t xml:space="preserve">01</w:t>
      </w:r>
      <w:r>
        <w:rPr>
          <w:sz w:val="24"/>
        </w:rPr>
        <w:t xml:space="preserve">» апреля </w:t>
      </w:r>
      <w:r>
        <w:rPr>
          <w:sz w:val="24"/>
        </w:rPr>
        <w:t xml:space="preserve">2027</w:t>
      </w:r>
      <w:r>
        <w:rPr>
          <w:sz w:val="24"/>
        </w:rPr>
        <w:t xml:space="preserve">. </w:t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Срок действия полиса, выдаваемого на основании настоящего договора в отношении каждого транспортного средства указывается в каждом полисе.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Обязательства Страховщика по каждому транспортному средству по выплате страхового возмещения распространяются на страховые случаи, произошедшие в течение срока страхования установленного в страховом полисе.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Для оформления полис</w:t>
      </w:r>
      <w:r>
        <w:rPr>
          <w:szCs w:val="24"/>
        </w:rPr>
        <w:t xml:space="preserve">ов</w:t>
      </w:r>
      <w:r>
        <w:rPr>
          <w:szCs w:val="24"/>
        </w:rPr>
        <w:t xml:space="preserve"> ОСАГО</w:t>
      </w:r>
      <w:r>
        <w:rPr>
          <w:szCs w:val="24"/>
        </w:rPr>
        <w:t xml:space="preserve"> </w:t>
      </w:r>
      <w:r>
        <w:rPr>
          <w:szCs w:val="24"/>
        </w:rPr>
        <w:t xml:space="preserve">Страхователь представляет Страховщику: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567" w:firstLine="0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- заявление о выдаче полиса ОСАГО;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567" w:firstLine="0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- </w:t>
      </w:r>
      <w:r>
        <w:t xml:space="preserve">копию </w:t>
      </w:r>
      <w:r>
        <w:t xml:space="preserve">регистрационного документа, выданного органом, осуществляющим государственную регистрацию транспортного средства (свидетельство о государственной регистрации т</w:t>
      </w:r>
      <w:r>
        <w:t xml:space="preserve">ранспортного средства или свидетельство о регистрации машины), либо паспорт транспортного средства или паспорт самоходной машины и других видов техники при заключении договора обязательного страхования до государственной регистрации транспортного средства;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567" w:firstLine="0"/>
        <w:spacing w:line="240" w:lineRule="auto"/>
        <w:tabs>
          <w:tab w:val="clear" w:pos="851" w:leader="none"/>
        </w:tabs>
        <w:rPr>
          <w:szCs w:val="24"/>
        </w:rPr>
      </w:pPr>
      <w:r>
        <w:rPr>
          <w:szCs w:val="24"/>
        </w:rPr>
        <w:t xml:space="preserve">- </w:t>
      </w:r>
      <w:r>
        <w:rPr>
          <w:szCs w:val="24"/>
        </w:rPr>
        <w:t xml:space="preserve">копию свидетельства</w:t>
      </w:r>
      <w:r>
        <w:rPr>
          <w:szCs w:val="24"/>
        </w:rPr>
        <w:t xml:space="preserve"> о постан</w:t>
      </w:r>
      <w:r>
        <w:rPr>
          <w:szCs w:val="24"/>
        </w:rPr>
        <w:t xml:space="preserve">овке на учет в налоговом органе.</w:t>
      </w:r>
      <w:r>
        <w:rPr>
          <w:szCs w:val="24"/>
        </w:rPr>
      </w:r>
      <w:r>
        <w:rPr>
          <w:szCs w:val="24"/>
        </w:rPr>
      </w:r>
    </w:p>
    <w:p>
      <w:pPr>
        <w:pStyle w:val="970"/>
        <w:numPr>
          <w:ilvl w:val="1"/>
          <w:numId w:val="36"/>
        </w:numPr>
        <w:ind w:left="0" w:firstLine="567"/>
        <w:rPr>
          <w:sz w:val="24"/>
        </w:rPr>
      </w:pPr>
      <w:r>
        <w:rPr>
          <w:sz w:val="24"/>
        </w:rPr>
        <w:t xml:space="preserve">Страховщик обязан применить </w:t>
      </w:r>
      <w:r>
        <w:rPr>
          <w:sz w:val="24"/>
        </w:rPr>
        <w:t xml:space="preserve">коэфф</w:t>
      </w:r>
      <w:r>
        <w:rPr>
          <w:sz w:val="24"/>
        </w:rPr>
        <w:t xml:space="preserve">ициент в зависимости от наличия или отсутствия страхового возмещения, осуществленного страховщиками в предшествующие периоды при осуществлении обязательного страхования гражданской ответственности владельцев данного транспортного средства (коэффициент КБМ)</w:t>
      </w:r>
      <w:r>
        <w:rPr>
          <w:sz w:val="24"/>
        </w:rPr>
        <w:t xml:space="preserve"> в соответствии с</w:t>
      </w:r>
      <w:r>
        <w:rPr>
          <w:sz w:val="24"/>
        </w:rPr>
        <w:t xml:space="preserve"> требованиями законодательства Российской Федерации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Страховщик оформляет полисы ОСАГО на бумажном носителе или в виде электронного документа по выбору страхователя.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При прекращении </w:t>
      </w:r>
      <w:r>
        <w:rPr>
          <w:szCs w:val="24"/>
        </w:rPr>
        <w:t xml:space="preserve">срока действия </w:t>
      </w:r>
      <w:r>
        <w:rPr>
          <w:szCs w:val="24"/>
        </w:rPr>
        <w:t xml:space="preserve">полиса ОСАГО</w:t>
      </w:r>
      <w:r>
        <w:rPr>
          <w:szCs w:val="24"/>
        </w:rPr>
        <w:t xml:space="preserve"> </w:t>
      </w:r>
      <w:r>
        <w:rPr>
          <w:szCs w:val="24"/>
        </w:rPr>
        <w:t xml:space="preserve">Страховщик по требованию Страхователя обязан предоставить Страхователю сведения о количестве и характере наступивших страховых случаев, об осуществленных страховых выплатах и о предстоящих страховых выплатах, о продолжительности страхования, о рассматри</w:t>
      </w:r>
      <w:r>
        <w:rPr>
          <w:szCs w:val="24"/>
        </w:rPr>
        <w:t xml:space="preserve">ваемых и неурегулированных требованиях потерпевших о страховых выплатах и иные сведения о страховании в период действия договора страхования (далее - сведения о страховании). Сведения о страховании предоставляются Страховщиком бесплатно в письменной форме.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После окончания срока страхования по каждому полису</w:t>
      </w:r>
      <w:r>
        <w:rPr>
          <w:szCs w:val="24"/>
        </w:rPr>
        <w:t xml:space="preserve"> ОСАГО</w:t>
      </w:r>
      <w:r>
        <w:rPr>
          <w:szCs w:val="24"/>
        </w:rPr>
        <w:t xml:space="preserve"> Страховщик обязан внести в информационную базу АИС РСА информацию о наличии или отсутствии страховых выплат в отношении каждого застрахованного ТС.</w:t>
      </w:r>
      <w:r>
        <w:rPr>
          <w:szCs w:val="24"/>
        </w:rPr>
      </w:r>
      <w:r>
        <w:rPr>
          <w:szCs w:val="24"/>
        </w:rPr>
      </w:r>
    </w:p>
    <w:p>
      <w:pPr>
        <w:pStyle w:val="1045"/>
        <w:spacing w:after="0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Досрочное прекращение действия договора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15"/>
        <w:ind w:left="0" w:right="-2"/>
        <w:spacing w:after="0" w:line="240" w:lineRule="auto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Основаниями к </w:t>
      </w:r>
      <w:r>
        <w:rPr>
          <w:szCs w:val="24"/>
        </w:rPr>
        <w:t xml:space="preserve">досрочному прекращению договора по ОСАГО являются основания, предусмотренные Правилами.   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Страхователь имеет право расторгнуть данный Договор по своей инициативе в порядке, предусмотренном законодательством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rPr>
          <w:szCs w:val="24"/>
        </w:rPr>
      </w:pPr>
      <w:r>
        <w:rPr>
          <w:szCs w:val="24"/>
        </w:rPr>
        <w:t xml:space="preserve">При прекращении действия Договора за Сторонами сохраняется ответственность по обязательствам, возникшим у них в период действия Договора и выданных на его основании страховых полисов.</w:t>
      </w:r>
      <w:r>
        <w:rPr>
          <w:szCs w:val="24"/>
        </w:rPr>
      </w:r>
      <w:r>
        <w:rPr>
          <w:szCs w:val="24"/>
        </w:rPr>
      </w:r>
    </w:p>
    <w:p>
      <w:pPr>
        <w:pStyle w:val="970"/>
        <w:ind w:firstLine="540"/>
        <w:rPr>
          <w:color w:val="000000"/>
          <w:sz w:val="24"/>
        </w:rPr>
      </w:pPr>
      <w:r>
        <w:rPr>
          <w:color w:val="000000"/>
          <w:sz w:val="24"/>
        </w:rPr>
      </w:r>
      <w:r>
        <w:rPr>
          <w:color w:val="000000"/>
          <w:sz w:val="24"/>
        </w:rPr>
      </w:r>
      <w:r>
        <w:rPr>
          <w:color w:val="000000"/>
          <w:sz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Ответственность сторон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970"/>
        <w:ind w:right="-2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11"/>
        <w:ind w:left="0" w:right="-2"/>
        <w:widowControl w:val="off"/>
        <w:tabs>
          <w:tab w:val="left" w:pos="567" w:leader="none"/>
        </w:tabs>
        <w:rPr>
          <w:sz w:val="24"/>
        </w:rPr>
      </w:pPr>
      <w:r>
        <w:rPr>
          <w:sz w:val="24"/>
        </w:rPr>
        <w:t xml:space="preserve">6.1.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 </w:t>
      </w:r>
      <w:r>
        <w:rPr>
          <w:color w:val="000000"/>
          <w:sz w:val="24"/>
        </w:rPr>
        <w:t xml:space="preserve">в соответствии с действующим законодательством Российской Федерации и Правилами страхования.</w:t>
      </w:r>
      <w:r>
        <w:rPr>
          <w:sz w:val="24"/>
        </w:rPr>
      </w:r>
      <w:r>
        <w:rPr>
          <w:sz w:val="24"/>
        </w:rPr>
      </w:r>
    </w:p>
    <w:p>
      <w:pPr>
        <w:pStyle w:val="1045"/>
        <w:spacing w:after="0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54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Обязанности сторон при наступлении страхового случая 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970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0"/>
        <w:rPr>
          <w:sz w:val="24"/>
        </w:rPr>
      </w:pPr>
      <w:r>
        <w:rPr>
          <w:sz w:val="24"/>
        </w:rPr>
        <w:t xml:space="preserve">7</w:t>
      </w:r>
      <w:r>
        <w:rPr>
          <w:sz w:val="24"/>
        </w:rPr>
        <w:t xml:space="preserve">.1. Обязанности Сторон при наступлении страхового случая регламентируются Правилами.</w:t>
      </w:r>
      <w:r>
        <w:rPr>
          <w:sz w:val="24"/>
        </w:rPr>
      </w:r>
      <w:r>
        <w:rPr>
          <w:sz w:val="24"/>
        </w:rPr>
      </w:r>
    </w:p>
    <w:p>
      <w:pPr>
        <w:pStyle w:val="970"/>
        <w:rPr>
          <w:sz w:val="24"/>
        </w:rPr>
      </w:pPr>
      <w:r>
        <w:rPr>
          <w:sz w:val="24"/>
        </w:rPr>
        <w:t xml:space="preserve">7</w:t>
      </w:r>
      <w:r>
        <w:rPr>
          <w:sz w:val="24"/>
        </w:rPr>
        <w:t xml:space="preserve">.2. </w:t>
      </w:r>
      <w:r>
        <w:rPr>
          <w:sz w:val="24"/>
        </w:rPr>
        <w:t xml:space="preserve">[</w:t>
      </w:r>
      <w:r>
        <w:rPr>
          <w:rStyle w:val="1060"/>
          <w:sz w:val="24"/>
        </w:rPr>
        <w:t xml:space="preserve">Дополнительные предложения участник</w:t>
      </w:r>
      <w:r>
        <w:rPr>
          <w:rStyle w:val="1060"/>
          <w:sz w:val="24"/>
        </w:rPr>
        <w:t xml:space="preserve">а</w:t>
      </w:r>
      <w:r>
        <w:rPr>
          <w:rStyle w:val="1060"/>
          <w:sz w:val="24"/>
        </w:rPr>
        <w:t xml:space="preserve"> конкурса принятые Страхователем</w:t>
      </w:r>
      <w:r>
        <w:rPr>
          <w:rStyle w:val="1060"/>
          <w:sz w:val="24"/>
        </w:rPr>
        <w:t xml:space="preserve">]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1055"/>
        <w:contextualSpacing/>
        <w:ind w:left="54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0" w:firstLine="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Определение размера и порядок выплаты страхового возмещения 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970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numPr>
          <w:ilvl w:val="1"/>
          <w:numId w:val="36"/>
        </w:numPr>
        <w:ind w:left="0" w:firstLine="567"/>
        <w:tabs>
          <w:tab w:val="left" w:pos="993" w:leader="none"/>
        </w:tabs>
        <w:rPr>
          <w:sz w:val="24"/>
        </w:rPr>
      </w:pPr>
      <w:r>
        <w:rPr>
          <w:sz w:val="24"/>
        </w:rPr>
        <w:t xml:space="preserve">Определение размера и порядок выплаты страхового </w:t>
      </w:r>
      <w:r>
        <w:rPr>
          <w:sz w:val="24"/>
        </w:rPr>
        <w:t xml:space="preserve">возмещения регламентируются</w:t>
      </w:r>
      <w:r>
        <w:rPr>
          <w:sz w:val="24"/>
        </w:rPr>
        <w:t xml:space="preserve">  Правилами.</w:t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Страховщик в течение _______(__) рабочих дней со дня получения всех предусмотренных</w:t>
      </w:r>
      <w:r>
        <w:rPr>
          <w:szCs w:val="24"/>
        </w:rPr>
        <w:t xml:space="preserve"> Правилами документов составляет акт о страховом случае, на основании которого осуществляет потерпевшему страховую выплату/направление на ремонт в СТОА либо направляет письменное извещение о полном или частичном отказе в выплате с указанием причин отказа. 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Срок осуществления страховой выплаты в соответствии с настоящим Договором составляет _____(__) рабочих дней со дня утверждения Страховщиком страхового акта.</w:t>
      </w:r>
      <w:r>
        <w:rPr>
          <w:szCs w:val="24"/>
        </w:rPr>
      </w:r>
      <w:r>
        <w:rPr>
          <w:szCs w:val="24"/>
        </w:rPr>
      </w:r>
    </w:p>
    <w:p>
      <w:pPr>
        <w:pStyle w:val="1058"/>
        <w:numPr>
          <w:ilvl w:val="1"/>
          <w:numId w:val="36"/>
        </w:numPr>
        <w:ind w:left="0" w:firstLine="567"/>
        <w:spacing w:line="240" w:lineRule="auto"/>
        <w:tabs>
          <w:tab w:val="left" w:pos="993" w:leader="none"/>
        </w:tabs>
        <w:rPr>
          <w:szCs w:val="24"/>
        </w:rPr>
      </w:pPr>
      <w:r>
        <w:t xml:space="preserve">[</w:t>
      </w:r>
      <w:r>
        <w:rPr>
          <w:rStyle w:val="1060"/>
          <w:szCs w:val="24"/>
        </w:rPr>
        <w:t xml:space="preserve">Дополнительные предложения участника конкурса принятые Страхователем</w:t>
      </w:r>
      <w:r>
        <w:rPr>
          <w:rStyle w:val="1060"/>
        </w:rPr>
        <w:t xml:space="preserve">]</w:t>
      </w:r>
      <w:r>
        <w:rPr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567" w:firstLine="0"/>
        <w:spacing w:line="240" w:lineRule="auto"/>
        <w:tabs>
          <w:tab w:val="clear" w:pos="851" w:leader="none"/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0" w:firstLine="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Дополнительные услуги ПРЕДОСТАВЛЯЕМЫЕ СТРАХОВЩИКОМ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СТРАХОВАТЕЛЮ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45"/>
        <w:spacing w:after="0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1</w:t>
      </w:r>
      <w:r>
        <w:rPr>
          <w:sz w:val="24"/>
        </w:rPr>
        <w:t xml:space="preserve">. Для оперативного решения вопросов по сопровождению Договора Страховщик в обязательном порядке назначает персональных кураторов (ответственных лиц) Договора со стороны Страховщика по организационно-финансовым вопросам и вопросам урегулирования убытков.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2</w:t>
      </w:r>
      <w:r>
        <w:rPr>
          <w:sz w:val="24"/>
        </w:rPr>
        <w:t xml:space="preserve">. Страховщик обеспечивает срочное (в течение одного рабочего дня) оформление страховых полисов.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9.3</w:t>
      </w:r>
      <w:r>
        <w:rPr>
          <w:sz w:val="24"/>
        </w:rPr>
        <w:t xml:space="preserve">. Страховщик в течение одного р</w:t>
      </w:r>
      <w:r>
        <w:rPr>
          <w:sz w:val="24"/>
        </w:rPr>
        <w:t xml:space="preserve">абочего дня с даты заявления Страхователя, осуществляет курьерскую доставку до места фактического нахождения Страхователя и передает представителю Страхователя подписанные со стороны Страховщика страховые полисы, а также необходимую страховую документацию.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4</w:t>
      </w:r>
      <w:r>
        <w:rPr>
          <w:sz w:val="24"/>
        </w:rPr>
        <w:t xml:space="preserve">. Страховщик обеспечивает круглосуточную раб</w:t>
      </w:r>
      <w:r>
        <w:rPr>
          <w:sz w:val="24"/>
        </w:rPr>
        <w:t xml:space="preserve">оту Единого контакт-центра, который дает возможность Страхователю получать необходимую информацию о действиях на месте ДТП и по вопросам, связанным с исполнением Договора, по бесплатному федеральному номеру, указанному в конкурсном предложении Страховщика.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5</w:t>
      </w:r>
      <w:r>
        <w:rPr>
          <w:sz w:val="24"/>
        </w:rPr>
        <w:t xml:space="preserve">. Страховщик по просьбе Страхователя оказывает организационную, методическую и юридическую помощь по вопросам страхования.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6</w:t>
      </w:r>
      <w:r>
        <w:rPr>
          <w:sz w:val="24"/>
        </w:rPr>
        <w:t xml:space="preserve">. Страховщик обеспечивает контроль статуса каждого страхового дела и информирует Страхователя о ходе процесса урегулирования убытков.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7</w:t>
      </w:r>
      <w:r>
        <w:rPr>
          <w:sz w:val="24"/>
        </w:rPr>
        <w:t xml:space="preserve">. Страховщик обязан информировать Страхователя обо всех изменениях в законодательстве РФ в части предоставляемых страховых услуг.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sz w:val="24"/>
        </w:rPr>
      </w:pPr>
      <w:r>
        <w:rPr>
          <w:sz w:val="24"/>
        </w:rPr>
        <w:t xml:space="preserve">9.8. </w:t>
      </w:r>
      <w:r>
        <w:rPr>
          <w:sz w:val="24"/>
        </w:rPr>
        <w:t xml:space="preserve">Наличие подразделений (филиала, отделения, представительства и т.п.) Страховщика с полномочиями по подписанию, сопровождению договоров (полисов) страхования и урегулиро</w:t>
      </w:r>
      <w:r>
        <w:rPr>
          <w:sz w:val="24"/>
        </w:rPr>
        <w:t xml:space="preserve">ванию страховых случаев в зоне </w:t>
      </w:r>
      <w:r>
        <w:rPr>
          <w:sz w:val="24"/>
        </w:rPr>
        <w:t xml:space="preserve">п</w:t>
      </w:r>
      <w:r>
        <w:rPr>
          <w:sz w:val="24"/>
        </w:rPr>
        <w:t xml:space="preserve">рисутствия по месту нахождения </w:t>
      </w:r>
      <w:r>
        <w:rPr>
          <w:sz w:val="24"/>
        </w:rPr>
        <w:t xml:space="preserve">АО «</w:t>
      </w:r>
      <w:r>
        <w:rPr>
          <w:sz w:val="24"/>
        </w:rPr>
        <w:t xml:space="preserve">Россети Сибирь Тываэнерго</w:t>
      </w:r>
      <w:r>
        <w:rPr>
          <w:sz w:val="24"/>
        </w:rPr>
        <w:t xml:space="preserve">», г. Кызыл.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709"/>
        <w:rPr>
          <w:i/>
          <w:sz w:val="24"/>
        </w:rPr>
      </w:pPr>
      <w:r>
        <w:rPr>
          <w:sz w:val="24"/>
        </w:rPr>
        <w:t xml:space="preserve">9.</w:t>
      </w:r>
      <w:r>
        <w:rPr>
          <w:sz w:val="24"/>
        </w:rPr>
        <w:t xml:space="preserve">9</w:t>
      </w:r>
      <w:r>
        <w:rPr>
          <w:sz w:val="24"/>
        </w:rPr>
        <w:t xml:space="preserve">.</w:t>
      </w:r>
      <w:r>
        <w:rPr>
          <w:i/>
          <w:sz w:val="24"/>
        </w:rPr>
        <w:t xml:space="preserve"> </w:t>
      </w:r>
      <w:r>
        <w:rPr>
          <w:sz w:val="24"/>
        </w:rPr>
        <w:t xml:space="preserve">[</w:t>
      </w:r>
      <w:r>
        <w:rPr>
          <w:rStyle w:val="1060"/>
          <w:sz w:val="24"/>
        </w:rPr>
        <w:t xml:space="preserve">Дополнительные предложения участника конкурса принятые Страхователем]</w:t>
      </w:r>
      <w:r>
        <w:rPr>
          <w:sz w:val="24"/>
        </w:rPr>
        <w:t xml:space="preserve">.</w:t>
      </w:r>
      <w:r>
        <w:rPr>
          <w:i/>
          <w:sz w:val="24"/>
        </w:rPr>
      </w:r>
      <w:r>
        <w:rPr>
          <w:i/>
          <w:sz w:val="24"/>
        </w:rPr>
      </w:r>
    </w:p>
    <w:p>
      <w:pPr>
        <w:pStyle w:val="1045"/>
        <w:spacing w:after="0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0" w:firstLine="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Рассмотрение споров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45"/>
        <w:spacing w:after="0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045"/>
        <w:ind w:firstLine="708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</w:t>
      </w:r>
      <w:r>
        <w:rPr>
          <w:b w:val="0"/>
          <w:caps w:val="0"/>
          <w:szCs w:val="24"/>
        </w:rPr>
        <w:t xml:space="preserve">0</w:t>
      </w:r>
      <w:r>
        <w:rPr>
          <w:b w:val="0"/>
          <w:caps w:val="0"/>
          <w:szCs w:val="24"/>
        </w:rPr>
        <w:t xml:space="preserve">.1.  Все споры и разногласия, которые могут возникнуть в ходе исполнения  Договора, будут разрешаться путем прямых двусторонних переговоров между Сторонами. 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firstLine="708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10.2. </w:t>
      </w:r>
      <w:r>
        <w:rPr>
          <w:b w:val="0"/>
          <w:caps w:val="0"/>
          <w:szCs w:val="24"/>
        </w:rPr>
        <w:t xml:space="preserve">При решении спорных вопросов положения настоящего Договора имеют преимущ</w:t>
      </w:r>
      <w:r>
        <w:rPr>
          <w:b w:val="0"/>
          <w:caps w:val="0"/>
          <w:szCs w:val="24"/>
        </w:rPr>
        <w:t xml:space="preserve">е</w:t>
      </w:r>
      <w:r>
        <w:rPr>
          <w:b w:val="0"/>
          <w:caps w:val="0"/>
          <w:szCs w:val="24"/>
        </w:rPr>
        <w:t xml:space="preserve">ственную силу по отношению к положениям Правил. 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firstLine="708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10.3. Все споры и разногласия, которые могут возникнуть в ходе исполнения Договора, будут разрешаться путем прямых двусторонних переговоров между Сторонами. 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firstLine="708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10.4</w:t>
      </w:r>
      <w:r>
        <w:rPr>
          <w:b w:val="0"/>
          <w:caps w:val="0"/>
          <w:szCs w:val="24"/>
        </w:rPr>
        <w:t xml:space="preserve">. При не достижении соглашения споры разрешаются в судебном порядке, предусмотренном действующим законодательством Российской Федерации в Арбитр</w:t>
      </w:r>
      <w:r>
        <w:rPr>
          <w:b w:val="0"/>
          <w:caps w:val="0"/>
          <w:szCs w:val="24"/>
        </w:rPr>
        <w:t xml:space="preserve">ажном суде по месту нахождения </w:t>
      </w:r>
      <w:r>
        <w:rPr>
          <w:b w:val="0"/>
          <w:caps w:val="0"/>
          <w:szCs w:val="24"/>
        </w:rPr>
        <w:t xml:space="preserve">АО «Россети Сибирь </w:t>
      </w:r>
      <w:r>
        <w:rPr>
          <w:b w:val="0"/>
          <w:caps w:val="0"/>
          <w:szCs w:val="24"/>
        </w:rPr>
        <w:t xml:space="preserve">Тываэнерго</w:t>
      </w:r>
      <w:r>
        <w:rPr>
          <w:b w:val="0"/>
          <w:caps w:val="0"/>
          <w:szCs w:val="24"/>
        </w:rPr>
        <w:t xml:space="preserve">» или его филиалав зависимости от балансовой принадлежности транспортного средства.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firstLine="708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970"/>
        <w:numPr>
          <w:ilvl w:val="0"/>
          <w:numId w:val="36"/>
        </w:numPr>
        <w:ind w:left="8505" w:hanging="8505"/>
        <w:jc w:val="center"/>
        <w:tabs>
          <w:tab w:val="left" w:pos="284" w:leader="none"/>
          <w:tab w:val="left" w:pos="426" w:leader="none"/>
        </w:tabs>
        <w:rPr>
          <w:b/>
          <w:sz w:val="24"/>
        </w:rPr>
      </w:pPr>
      <w:r/>
      <w:bookmarkStart w:id="2" w:name="_Toc303684080"/>
      <w:r/>
      <w:bookmarkStart w:id="3" w:name="_Toc303684326"/>
      <w:r/>
      <w:bookmarkStart w:id="4" w:name="_Toc303777734"/>
      <w:r/>
      <w:bookmarkStart w:id="5" w:name="_Toc304196279"/>
      <w:r>
        <w:rPr>
          <w:b/>
          <w:sz w:val="24"/>
        </w:rPr>
        <w:t xml:space="preserve">КОНФИДЕНЦИАЛЬНОСТЬ ИНФОРМАЦИИ</w:t>
      </w:r>
      <w:bookmarkEnd w:id="1"/>
      <w:r/>
      <w:bookmarkEnd w:id="2"/>
      <w:r/>
      <w:bookmarkEnd w:id="3"/>
      <w:r/>
      <w:bookmarkEnd w:id="4"/>
      <w:r/>
      <w:bookmarkEnd w:id="5"/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ind w:left="8505" w:firstLine="0"/>
        <w:tabs>
          <w:tab w:val="left" w:pos="284" w:leader="none"/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058"/>
        <w:numPr>
          <w:ilvl w:val="1"/>
          <w:numId w:val="36"/>
        </w:numPr>
        <w:ind w:left="0" w:firstLine="709"/>
        <w:spacing w:line="240" w:lineRule="auto"/>
      </w:pPr>
      <w: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/>
    </w:p>
    <w:p>
      <w:pPr>
        <w:pStyle w:val="1058"/>
        <w:numPr>
          <w:ilvl w:val="1"/>
          <w:numId w:val="36"/>
        </w:numPr>
        <w:ind w:left="0" w:firstLine="709"/>
        <w:spacing w:line="240" w:lineRule="auto"/>
      </w:pPr>
      <w:r>
        <w:t xml:space="preserve">Требования п. 1</w:t>
      </w:r>
      <w:r>
        <w:t xml:space="preserve">1</w:t>
      </w:r>
      <w: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/>
    </w:p>
    <w:p>
      <w:pPr>
        <w:pStyle w:val="1058"/>
        <w:numPr>
          <w:ilvl w:val="1"/>
          <w:numId w:val="36"/>
        </w:numPr>
        <w:ind w:left="0" w:firstLine="709"/>
        <w:spacing w:line="240" w:lineRule="auto"/>
      </w:pPr>
      <w: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/>
    </w:p>
    <w:p>
      <w:pPr>
        <w:pStyle w:val="1058"/>
        <w:numPr>
          <w:ilvl w:val="1"/>
          <w:numId w:val="36"/>
        </w:numPr>
        <w:ind w:left="0" w:firstLine="709"/>
        <w:spacing w:line="240" w:lineRule="auto"/>
      </w:pPr>
      <w:r>
        <w:t xml:space="preserve">Любой ущерб, причиненный Стороне несоблюдением требований раздела 1</w:t>
      </w:r>
      <w:r>
        <w:t xml:space="preserve">1</w:t>
      </w:r>
      <w:r>
        <w:t xml:space="preserve"> настоящего Договора, подлежит полному возмещению виновной Стороной.</w:t>
      </w:r>
      <w:r/>
    </w:p>
    <w:p>
      <w:pPr>
        <w:pStyle w:val="1058"/>
        <w:numPr>
          <w:ilvl w:val="1"/>
          <w:numId w:val="36"/>
        </w:numPr>
        <w:ind w:left="0" w:firstLine="709"/>
        <w:spacing w:line="240" w:lineRule="auto"/>
      </w:pPr>
      <w:r>
        <w:t xml:space="preserve">Передача и использование Сторонами по настоящему Договору инфор</w:t>
      </w:r>
      <w:r>
        <w:t xml:space="preserve">мации, составляющей коммерческую тайну, осуществляется на основании соглашения о конфиденциальности, заключаемого Сторонами по</w:t>
      </w:r>
      <w:r>
        <w:t xml:space="preserve"> типовой форме, утвержденной в </w:t>
      </w:r>
      <w:r>
        <w:t xml:space="preserve">АО «Россети Сибирь </w:t>
      </w:r>
      <w:r>
        <w:t xml:space="preserve">Тываэнерго</w:t>
      </w:r>
      <w:r>
        <w:t xml:space="preserve">».</w:t>
      </w:r>
      <w:r/>
    </w:p>
    <w:p>
      <w:pPr>
        <w:pStyle w:val="1058"/>
        <w:ind w:left="709" w:firstLine="0"/>
        <w:spacing w:line="240" w:lineRule="auto"/>
        <w:tabs>
          <w:tab w:val="clear" w:pos="851" w:leader="none"/>
        </w:tabs>
      </w:pPr>
      <w:r/>
      <w:r/>
    </w:p>
    <w:p>
      <w:pPr>
        <w:pStyle w:val="970"/>
        <w:numPr>
          <w:ilvl w:val="0"/>
          <w:numId w:val="36"/>
        </w:numPr>
        <w:ind w:hanging="4368"/>
        <w:jc w:val="center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b/>
          <w:sz w:val="24"/>
        </w:rPr>
      </w:pPr>
      <w:r>
        <w:rPr>
          <w:b/>
          <w:sz w:val="24"/>
        </w:rPr>
        <w:t xml:space="preserve">РАСКРЫТИЕ ИНФОРМАЦИИ СТРАХОВЩИКОМ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ind w:left="4368" w:firstLine="0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000"/>
        <w:numPr>
          <w:ilvl w:val="1"/>
          <w:numId w:val="36"/>
        </w:numPr>
        <w:ind w:left="1108" w:hanging="4379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Страховщик </w:t>
      </w:r>
      <w:r>
        <w:rPr>
          <w:sz w:val="24"/>
        </w:rPr>
        <w:t xml:space="preserve">обязан предоставлять в адрес Страхователя: 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- информацию о полной цепочке собственников, включая конечных бенефициаров, а также</w:t>
      </w:r>
      <w:r>
        <w:rPr>
          <w:sz w:val="24"/>
        </w:rPr>
        <w:t xml:space="preserve"> о составе исполнительных органов Страховщика,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</w:t>
      </w:r>
      <w:r>
        <w:rPr>
          <w:color w:val="000000"/>
          <w:sz w:val="24"/>
        </w:rPr>
        <w:t xml:space="preserve">Приложении 4 к настоящему Договору, а также в формате Excel и PDF на адрес электронной почты </w:t>
      </w:r>
      <w:r>
        <w:rPr>
          <w:color w:val="000000"/>
          <w:sz w:val="24"/>
          <w:lang w:val="en-US"/>
        </w:rPr>
        <w:t xml:space="preserve">tuvaenergo</w:t>
      </w:r>
      <w:r>
        <w:rPr>
          <w:color w:val="000000"/>
          <w:sz w:val="24"/>
        </w:rPr>
        <w:t xml:space="preserve">@</w:t>
      </w:r>
      <w:r>
        <w:rPr>
          <w:color w:val="000000"/>
          <w:sz w:val="24"/>
          <w:lang w:val="en-US"/>
        </w:rPr>
        <w:t xml:space="preserve">tv</w:t>
      </w:r>
      <w:r>
        <w:rPr>
          <w:color w:val="000000"/>
          <w:sz w:val="24"/>
        </w:rPr>
        <w:t xml:space="preserve">.</w:t>
      </w:r>
      <w:r>
        <w:rPr>
          <w:color w:val="000000"/>
          <w:sz w:val="24"/>
          <w:lang w:val="en-US"/>
        </w:rPr>
        <w:t xml:space="preserve">rosseti</w:t>
      </w:r>
      <w:r>
        <w:rPr>
          <w:color w:val="000000"/>
          <w:sz w:val="24"/>
        </w:rPr>
        <w:t xml:space="preserve">-</w:t>
      </w:r>
      <w:r>
        <w:rPr>
          <w:color w:val="000000"/>
          <w:sz w:val="24"/>
          <w:lang w:val="en-US"/>
        </w:rPr>
        <w:t xml:space="preserve">sib</w:t>
      </w:r>
      <w:r>
        <w:rPr>
          <w:color w:val="000000"/>
          <w:sz w:val="24"/>
        </w:rPr>
        <w:t xml:space="preserve">.</w:t>
      </w:r>
      <w:r>
        <w:rPr>
          <w:color w:val="000000"/>
          <w:sz w:val="24"/>
          <w:lang w:val="en-US"/>
        </w:rPr>
        <w:t xml:space="preserve">ru</w:t>
      </w:r>
      <w:r>
        <w:rPr>
          <w:color w:val="000000"/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- информацию о привлечении Страховщиком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</w:t>
      </w:r>
      <w:r>
        <w:rPr>
          <w:sz w:val="24"/>
        </w:rPr>
        <w:t xml:space="preserve"> Страховщиком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4 к настоящему Договору, а также в формате Excel и PDF на адрес электронной почты </w:t>
      </w:r>
      <w:r>
        <w:rPr>
          <w:color w:val="000000"/>
          <w:sz w:val="24"/>
          <w:lang w:val="en-US"/>
        </w:rPr>
        <w:t xml:space="preserve">tuvaenergo</w:t>
      </w:r>
      <w:r>
        <w:rPr>
          <w:color w:val="000000"/>
          <w:sz w:val="24"/>
        </w:rPr>
        <w:t xml:space="preserve">@</w:t>
      </w:r>
      <w:r>
        <w:rPr>
          <w:color w:val="000000"/>
          <w:sz w:val="24"/>
          <w:lang w:val="en-US"/>
        </w:rPr>
        <w:t xml:space="preserve">tv</w:t>
      </w:r>
      <w:r>
        <w:rPr>
          <w:color w:val="000000"/>
          <w:sz w:val="24"/>
        </w:rPr>
        <w:t xml:space="preserve">.</w:t>
      </w:r>
      <w:r>
        <w:rPr>
          <w:color w:val="000000"/>
          <w:sz w:val="24"/>
          <w:lang w:val="en-US"/>
        </w:rPr>
        <w:t xml:space="preserve">rosseti</w:t>
      </w:r>
      <w:r>
        <w:rPr>
          <w:color w:val="000000"/>
          <w:sz w:val="24"/>
        </w:rPr>
        <w:t xml:space="preserve">-</w:t>
      </w:r>
      <w:r>
        <w:rPr>
          <w:color w:val="000000"/>
          <w:sz w:val="24"/>
          <w:lang w:val="en-US"/>
        </w:rPr>
        <w:t xml:space="preserve">sib</w:t>
      </w:r>
      <w:r>
        <w:rPr>
          <w:color w:val="000000"/>
          <w:sz w:val="24"/>
        </w:rPr>
        <w:t xml:space="preserve">.</w:t>
      </w:r>
      <w:r>
        <w:rPr>
          <w:color w:val="000000"/>
          <w:sz w:val="24"/>
          <w:lang w:val="en-US"/>
        </w:rPr>
        <w:t xml:space="preserve">ru</w:t>
      </w:r>
      <w:r>
        <w:rPr>
          <w:color w:val="000000"/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Страховщик обязуется предоставлять Страхователю информацию об изменении состава (по сравнению с существовавшим на дату за</w:t>
      </w:r>
      <w:r>
        <w:rPr>
          <w:sz w:val="24"/>
        </w:rPr>
        <w:t xml:space="preserve">ключения настоящего Договора) собственников Страховщика, третьих лиц, привлеченных Страховщиком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</w:t>
      </w:r>
      <w:r>
        <w:rPr>
          <w:sz w:val="24"/>
        </w:rPr>
        <w:t xml:space="preserve">я бенефициаров (в том числе конечных), а также состава исполнительных органов Страховщика, третьих лиц, привлеченных Страховщиком к исполнению своих обязательств по договору. Информация (вместе с копиями подтверждающих документов) представляется Страховате</w:t>
      </w:r>
      <w:r>
        <w:rPr>
          <w:sz w:val="24"/>
        </w:rPr>
        <w:t xml:space="preserve">лю по форме, указанной в Приложении 4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r>
        <w:rPr>
          <w:color w:val="000000"/>
          <w:sz w:val="24"/>
          <w:lang w:val="en-US"/>
        </w:rPr>
        <w:t xml:space="preserve">tuvaenergo</w:t>
      </w:r>
      <w:r>
        <w:rPr>
          <w:color w:val="000000"/>
          <w:sz w:val="24"/>
        </w:rPr>
        <w:t xml:space="preserve">@</w:t>
      </w:r>
      <w:r>
        <w:rPr>
          <w:color w:val="000000"/>
          <w:sz w:val="24"/>
          <w:lang w:val="en-US"/>
        </w:rPr>
        <w:t xml:space="preserve">tv</w:t>
      </w:r>
      <w:r>
        <w:rPr>
          <w:color w:val="000000"/>
          <w:sz w:val="24"/>
        </w:rPr>
        <w:t xml:space="preserve">.</w:t>
      </w:r>
      <w:r>
        <w:rPr>
          <w:color w:val="000000"/>
          <w:sz w:val="24"/>
          <w:lang w:val="en-US"/>
        </w:rPr>
        <w:t xml:space="preserve">rosseti</w:t>
      </w:r>
      <w:r>
        <w:rPr>
          <w:color w:val="000000"/>
          <w:sz w:val="24"/>
        </w:rPr>
        <w:t xml:space="preserve">-</w:t>
      </w:r>
      <w:r>
        <w:rPr>
          <w:color w:val="000000"/>
          <w:sz w:val="24"/>
          <w:lang w:val="en-US"/>
        </w:rPr>
        <w:t xml:space="preserve">sib</w:t>
      </w:r>
      <w:r>
        <w:rPr>
          <w:color w:val="000000"/>
          <w:sz w:val="24"/>
        </w:rPr>
        <w:t xml:space="preserve">.</w:t>
      </w:r>
      <w:r>
        <w:rPr>
          <w:color w:val="000000"/>
          <w:sz w:val="24"/>
          <w:lang w:val="en-US"/>
        </w:rPr>
        <w:t xml:space="preserve">ru</w:t>
      </w:r>
      <w:r>
        <w:rPr>
          <w:color w:val="000000"/>
          <w:sz w:val="24"/>
        </w:rPr>
        <w:t xml:space="preserve">. 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В случае если информация о полной цепочке собственников Страховщика, третьего лица, привлеченного Страховщиком к исполнению своих обязательств по договору, содержит персональные данные, Страховщик обеспечивает п</w:t>
      </w:r>
      <w:r>
        <w:rPr>
          <w:sz w:val="24"/>
        </w:rPr>
        <w:t xml:space="preserve">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5 к настоящему Договору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0"/>
          <w:numId w:val="0"/>
        </w:numPr>
        <w:ind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numPr>
          <w:ilvl w:val="0"/>
          <w:numId w:val="36"/>
        </w:numPr>
        <w:ind w:hanging="4368"/>
        <w:jc w:val="center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b/>
          <w:sz w:val="24"/>
        </w:rPr>
      </w:pPr>
      <w:r>
        <w:rPr>
          <w:b/>
          <w:sz w:val="24"/>
        </w:rPr>
        <w:t xml:space="preserve">АНТИКОРРУПЦИОННАЯ ОГОВОРКА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ind w:left="4368" w:firstLine="0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  <w:t xml:space="preserve">13.1. С</w:t>
      </w:r>
      <w:r>
        <w:rPr>
          <w:sz w:val="24"/>
        </w:rPr>
        <w:t xml:space="preserve">траховщику известно о том, что </w:t>
      </w:r>
      <w:r>
        <w:rPr>
          <w:sz w:val="24"/>
        </w:rPr>
        <w:t xml:space="preserve">АО «Россети Сибирь </w:t>
      </w:r>
      <w:r>
        <w:rPr>
          <w:sz w:val="24"/>
        </w:rPr>
        <w:t xml:space="preserve">Тываэнерго</w:t>
      </w:r>
      <w:r>
        <w:rPr>
          <w:sz w:val="24"/>
        </w:rPr>
        <w:t xml:space="preserve">» реализует требования статьи 13.3 </w:t>
      </w:r>
      <w:r>
        <w:rPr>
          <w:sz w:val="24"/>
        </w:rPr>
        <w:t xml:space="preserve">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№6/2015), включено в Реестр надежных партнеров,</w:t>
      </w:r>
      <w:r>
        <w:rPr>
          <w:sz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</w:rPr>
      </w:r>
      <w:r>
        <w:rPr>
          <w:sz w:val="24"/>
        </w:rPr>
      </w:r>
    </w:p>
    <w:p>
      <w:pPr>
        <w:pStyle w:val="970"/>
        <w:rPr>
          <w:sz w:val="24"/>
        </w:rPr>
      </w:pPr>
      <w:r>
        <w:rPr>
          <w:sz w:val="24"/>
        </w:rPr>
        <w:t xml:space="preserve">13.2. Страховщик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Страхователя по адресу: </w:t>
      </w:r>
      <w:r>
        <w:rPr>
          <w:sz w:val="24"/>
        </w:rPr>
        <w:fldChar w:fldCharType="begin"/>
      </w:r>
      <w:r>
        <w:rPr>
          <w:sz w:val="24"/>
        </w:rPr>
        <w:instrText xml:space="preserve"> HYPERLINK "https://rosseti-sib.ru/purchases/antikorruptsionnaya-politika/" </w:instrText>
      </w:r>
      <w:r>
        <w:rPr>
          <w:sz w:val="24"/>
        </w:rPr>
        <w:fldChar w:fldCharType="separate"/>
      </w:r>
      <w:r>
        <w:t xml:space="preserve"> </w:t>
      </w:r>
      <w:r>
        <w:rPr>
          <w:sz w:val="24"/>
        </w:rPr>
        <w:t xml:space="preserve">http://www.tuvaenergo.ru/buy/corruption.php</w:t>
      </w:r>
      <w:r>
        <w:rPr>
          <w:sz w:val="24"/>
        </w:rPr>
        <w:fldChar w:fldCharType="end"/>
      </w:r>
      <w:r>
        <w:rPr>
          <w:sz w:val="24"/>
        </w:rPr>
        <w:t xml:space="preserve">, удостоверяет, что он полностью принимает положения Антикоррупционной политики, и обязуется обеспечивать соб</w:t>
      </w:r>
      <w:r>
        <w:rPr>
          <w:sz w:val="24"/>
        </w:rPr>
        <w:t xml:space="preserve">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  <w:t xml:space="preserve">13.3. При исполнении своих обязательств по настоящему Договору Стороны, их аффилированные лица, работники или посредники не выплачивают, не предлага</w:t>
      </w:r>
      <w:r>
        <w:rPr>
          <w:sz w:val="24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</w:t>
      </w:r>
      <w:r>
        <w:rPr>
          <w:sz w:val="24"/>
        </w:rPr>
        <w:t xml:space="preserve">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  <w:t xml:space="preserve">13.4. В слу</w:t>
      </w:r>
      <w:r>
        <w:rPr>
          <w:sz w:val="24"/>
        </w:rPr>
        <w:t xml:space="preserve">чае возникновения у одной из Сторон подозрений, что произошло или может произойти нарушение каких-либо положений пунктов 13.1. – 13.3. настоящего Договора, указанная Сторона обязуется уведомить другую Сторону в письменной форме. После письменного уведомлен</w:t>
      </w:r>
      <w:r>
        <w:rPr>
          <w:sz w:val="24"/>
        </w:rPr>
        <w:t xml:space="preserve">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</w:t>
      </w:r>
      <w:r>
        <w:rPr>
          <w:sz w:val="24"/>
        </w:rPr>
        <w:t xml:space="preserve">жений пунктов 13.1., 13.2. настоящего Договора любой из Сторон, аффилированными лицами, работниками или посредниками.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13.1., 13.2. настоящего Договора, и обязательств воздерживаться от запрещенных в пункте 13.</w:t>
      </w:r>
      <w:r>
        <w:rPr>
          <w:sz w:val="24"/>
        </w:rPr>
        <w:t xml:space="preserve">3. настоящего Договора действий и/или неполучения другой стороной в установленный срок подтверждения, что нарушения не произошло или не произойдет, Страхователь или Страховщик имеет право расторгнуть настоящий Договор в одностороннем порядке, полностью или</w:t>
      </w:r>
      <w:r>
        <w:rPr>
          <w:sz w:val="24"/>
        </w:rPr>
        <w:t xml:space="preserve">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058"/>
        <w:numPr>
          <w:ilvl w:val="0"/>
          <w:numId w:val="36"/>
        </w:numPr>
        <w:ind w:left="0" w:firstLine="0"/>
        <w:jc w:val="center"/>
        <w:spacing w:line="240" w:lineRule="auto"/>
        <w:tabs>
          <w:tab w:val="clear" w:pos="1134" w:leader="none"/>
        </w:tabs>
        <w:rPr>
          <w:b/>
          <w:bCs/>
          <w:caps/>
          <w:szCs w:val="24"/>
        </w:rPr>
        <w:outlineLvl w:val="0"/>
      </w:pPr>
      <w:r>
        <w:rPr>
          <w:b/>
          <w:bCs/>
          <w:caps/>
          <w:szCs w:val="24"/>
        </w:rPr>
        <w:t xml:space="preserve">Обстоятельства непреодолимой силы</w:t>
      </w:r>
      <w:r>
        <w:rPr>
          <w:b/>
          <w:bCs/>
          <w:caps/>
          <w:szCs w:val="24"/>
        </w:rPr>
      </w:r>
      <w:r>
        <w:rPr>
          <w:b/>
          <w:bCs/>
          <w:caps/>
          <w:szCs w:val="24"/>
        </w:rPr>
      </w:r>
    </w:p>
    <w:p>
      <w:pPr>
        <w:pStyle w:val="1045"/>
        <w:ind w:right="0" w:firstLine="357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14</w:t>
      </w:r>
      <w:r>
        <w:rPr>
          <w:b w:val="0"/>
          <w:caps w:val="0"/>
          <w:szCs w:val="24"/>
        </w:rPr>
        <w:t xml:space="preserve"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right="0" w:firstLine="357"/>
        <w:jc w:val="both"/>
        <w:spacing w:after="0"/>
        <w:rPr>
          <w:szCs w:val="24"/>
        </w:rPr>
      </w:pPr>
      <w:r>
        <w:rPr>
          <w:b w:val="0"/>
          <w:caps w:val="0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</w:t>
      </w:r>
      <w:r>
        <w:rPr>
          <w:b w:val="0"/>
          <w:caps w:val="0"/>
          <w:szCs w:val="24"/>
        </w:rP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</w:t>
      </w:r>
      <w:r>
        <w:rPr>
          <w:b w:val="0"/>
          <w:caps w:val="0"/>
          <w:szCs w:val="24"/>
        </w:rPr>
        <w:t xml:space="preserve"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Cs w:val="24"/>
        </w:rPr>
      </w:r>
      <w:r>
        <w:rPr>
          <w:szCs w:val="24"/>
        </w:rPr>
      </w:r>
    </w:p>
    <w:p>
      <w:pPr>
        <w:pStyle w:val="1045"/>
        <w:ind w:right="0" w:firstLine="357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При прекращении действия таких об</w:t>
      </w:r>
      <w:r>
        <w:rPr>
          <w:b w:val="0"/>
          <w:caps w:val="0"/>
          <w:szCs w:val="24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right="0" w:firstLine="357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</w:t>
      </w:r>
      <w:r>
        <w:rPr>
          <w:b w:val="0"/>
          <w:caps w:val="0"/>
          <w:szCs w:val="24"/>
        </w:rPr>
        <w:t xml:space="preserve">4</w:t>
      </w:r>
      <w:r>
        <w:rPr>
          <w:b w:val="0"/>
          <w:caps w:val="0"/>
          <w:szCs w:val="24"/>
        </w:rPr>
        <w:t xml:space="preserve">.2. В случаях, предусмотренных в пункте 1</w:t>
      </w:r>
      <w:r>
        <w:rPr>
          <w:b w:val="0"/>
          <w:caps w:val="0"/>
          <w:szCs w:val="24"/>
        </w:rPr>
        <w:t xml:space="preserve">4</w:t>
      </w:r>
      <w:r>
        <w:rPr>
          <w:b w:val="0"/>
          <w:caps w:val="0"/>
          <w:szCs w:val="24"/>
        </w:rPr>
        <w:t xml:space="preserve">.1.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b w:val="0"/>
          <w:caps w:val="0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right="0" w:firstLine="357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1</w:t>
      </w:r>
      <w:r>
        <w:rPr>
          <w:b w:val="0"/>
          <w:caps w:val="0"/>
          <w:szCs w:val="24"/>
        </w:rPr>
        <w:t xml:space="preserve">4</w:t>
      </w:r>
      <w:r>
        <w:rPr>
          <w:b w:val="0"/>
          <w:caps w:val="0"/>
          <w:szCs w:val="24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right="0" w:firstLine="357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970"/>
        <w:ind w:firstLine="357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0"/>
        <w:numPr>
          <w:ilvl w:val="0"/>
          <w:numId w:val="36"/>
        </w:numPr>
        <w:ind w:hanging="4368"/>
        <w:jc w:val="center"/>
        <w:tabs>
          <w:tab w:val="left" w:pos="284" w:leader="none"/>
          <w:tab w:val="left" w:pos="426" w:leader="none"/>
        </w:tabs>
        <w:rPr>
          <w:b/>
          <w:sz w:val="24"/>
        </w:rPr>
      </w:pPr>
      <w:r>
        <w:rPr>
          <w:b/>
          <w:sz w:val="24"/>
        </w:rPr>
        <w:t xml:space="preserve">ТОЛКОВАНИЕ ДОГОВОРА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ind w:left="4368" w:firstLine="0"/>
        <w:tabs>
          <w:tab w:val="left" w:pos="284" w:leader="none"/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</w:rPr>
      </w:r>
      <w:r>
        <w:rPr>
          <w:sz w:val="24"/>
        </w:rPr>
      </w:r>
    </w:p>
    <w:p>
      <w:pPr>
        <w:pStyle w:val="970"/>
        <w:ind w:firstLine="357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70"/>
        <w:numPr>
          <w:ilvl w:val="0"/>
          <w:numId w:val="36"/>
        </w:numPr>
        <w:ind w:left="0" w:firstLine="357"/>
        <w:jc w:val="center"/>
        <w:tabs>
          <w:tab w:val="left" w:pos="284" w:leader="none"/>
          <w:tab w:val="left" w:pos="426" w:leader="none"/>
        </w:tabs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 xml:space="preserve">ЗАКЛЮЧИТЕЛЬНЫЕ ПОЛОЖЕНИЯ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0"/>
        <w:ind w:left="357" w:firstLine="0"/>
        <w:tabs>
          <w:tab w:val="left" w:pos="284" w:leader="none"/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Настоящий Договор со всеми его дополнительными соглашениями и приложениями </w:t>
      </w:r>
      <w:r>
        <w:rPr>
          <w:sz w:val="24"/>
        </w:rPr>
        <w:t xml:space="preserve">представляет собой единое соглашение между Страховщиком и Страхователем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</w:rPr>
      </w:r>
      <w:r>
        <w:rPr>
          <w:sz w:val="24"/>
        </w:rPr>
      </w:r>
    </w:p>
    <w:p>
      <w:pPr>
        <w:pStyle w:val="1000"/>
        <w:numPr>
          <w:ilvl w:val="1"/>
          <w:numId w:val="36"/>
        </w:numPr>
        <w:ind w:left="0" w:firstLine="357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</w:rPr>
      </w:pPr>
      <w:r>
        <w:rPr>
          <w:sz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</w:rPr>
      </w:r>
      <w:r>
        <w:rPr>
          <w:sz w:val="24"/>
        </w:rPr>
      </w:r>
    </w:p>
    <w:p>
      <w:pPr>
        <w:pStyle w:val="1055"/>
        <w:contextualSpacing/>
        <w:ind w:left="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5"/>
        <w:numPr>
          <w:ilvl w:val="0"/>
          <w:numId w:val="36"/>
        </w:numPr>
        <w:contextualSpacing/>
        <w:ind w:left="0" w:firstLine="0"/>
        <w:jc w:val="center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Приложения</w:t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5"/>
        <w:contextualSpacing/>
        <w:ind w:left="0"/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  <w:r>
        <w:rPr>
          <w:rFonts w:ascii="Times New Roman" w:hAnsi="Times New Roman"/>
          <w:b/>
          <w:bCs/>
          <w:caps/>
          <w:sz w:val="24"/>
          <w:szCs w:val="24"/>
        </w:rPr>
      </w:r>
    </w:p>
    <w:p>
      <w:pPr>
        <w:pStyle w:val="1058"/>
        <w:ind w:left="0" w:firstLine="709"/>
        <w:spacing w:line="240" w:lineRule="auto"/>
        <w:tabs>
          <w:tab w:val="clear" w:pos="851" w:leader="none"/>
        </w:tabs>
        <w:rPr>
          <w:szCs w:val="24"/>
        </w:rPr>
      </w:pPr>
      <w:r>
        <w:t xml:space="preserve">Приложение </w:t>
      </w:r>
      <w:r>
        <w:t xml:space="preserve">1. </w:t>
      </w:r>
      <w:r>
        <w:rPr>
          <w:szCs w:val="24"/>
        </w:rPr>
        <w:t xml:space="preserve">Правила обязательного страхования гражданской ответственности владельцев транспортных средств, утвержденными Положением Центрального Банка Российской Федерации (Банком России) от 19 сентября 2014 г</w:t>
      </w:r>
      <w:r>
        <w:rPr>
          <w:szCs w:val="24"/>
        </w:rPr>
        <w:t xml:space="preserve">.</w:t>
      </w:r>
      <w:r>
        <w:rPr>
          <w:szCs w:val="24"/>
        </w:rPr>
        <w:t xml:space="preserve"> </w:t>
      </w:r>
      <w:r>
        <w:rPr>
          <w:szCs w:val="24"/>
          <w:lang w:val="en-US"/>
        </w:rPr>
        <w:t xml:space="preserve">N</w:t>
      </w:r>
      <w:r>
        <w:rPr>
          <w:szCs w:val="24"/>
        </w:rPr>
        <w:t xml:space="preserve"> 431-П</w:t>
      </w:r>
      <w:r>
        <w:rPr>
          <w:szCs w:val="24"/>
        </w:rPr>
        <w:t xml:space="preserve"> на _____ стр..</w:t>
      </w:r>
      <w:r>
        <w:rPr>
          <w:szCs w:val="24"/>
        </w:rPr>
      </w:r>
      <w:r>
        <w:rPr>
          <w:szCs w:val="24"/>
        </w:rPr>
      </w:r>
    </w:p>
    <w:p>
      <w:pPr>
        <w:pStyle w:val="1058"/>
        <w:ind w:left="0" w:firstLine="709"/>
        <w:spacing w:line="240" w:lineRule="auto"/>
        <w:tabs>
          <w:tab w:val="clear" w:pos="851" w:leader="none"/>
        </w:tabs>
      </w:pPr>
      <w:r>
        <w:rPr>
          <w:szCs w:val="24"/>
        </w:rPr>
        <w:t xml:space="preserve">Приложение 2. Перечень транспортных средств на _____ стр. </w:t>
      </w:r>
      <w:r/>
    </w:p>
    <w:p>
      <w:pPr>
        <w:pStyle w:val="1045"/>
        <w:ind w:right="0" w:firstLine="709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8"/>
        </w:rPr>
        <w:t xml:space="preserve">Приложение</w:t>
      </w:r>
      <w:r>
        <w:rPr>
          <w:b w:val="0"/>
        </w:rPr>
        <w:t xml:space="preserve"> </w:t>
      </w:r>
      <w:r>
        <w:rPr>
          <w:b w:val="0"/>
        </w:rPr>
        <w:t xml:space="preserve">3</w:t>
      </w:r>
      <w:r>
        <w:rPr>
          <w:b w:val="0"/>
        </w:rPr>
        <w:t xml:space="preserve">. </w:t>
      </w:r>
      <w:r>
        <w:rPr>
          <w:b w:val="0"/>
          <w:caps w:val="0"/>
          <w:szCs w:val="24"/>
        </w:rPr>
        <w:t xml:space="preserve">Информация о цепочке собственников, включая бенефициаров (в том числе конечных)</w:t>
      </w:r>
      <w:r>
        <w:rPr>
          <w:b w:val="0"/>
          <w:caps w:val="0"/>
          <w:szCs w:val="24"/>
        </w:rPr>
        <w:t xml:space="preserve"> </w:t>
      </w:r>
      <w:r>
        <w:rPr>
          <w:b w:val="0"/>
          <w:caps w:val="0"/>
          <w:szCs w:val="24"/>
        </w:rPr>
        <w:t xml:space="preserve">на _____ стр. 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ind w:right="0" w:firstLine="709"/>
        <w:jc w:val="both"/>
        <w:spacing w:after="0"/>
        <w:rPr>
          <w:b w:val="0"/>
          <w:caps w:val="0"/>
          <w:szCs w:val="24"/>
        </w:rPr>
      </w:pPr>
      <w:r>
        <w:rPr>
          <w:b w:val="0"/>
          <w:caps w:val="0"/>
          <w:szCs w:val="24"/>
        </w:rPr>
        <w:t xml:space="preserve">Приложение </w:t>
      </w:r>
      <w:r>
        <w:rPr>
          <w:b w:val="0"/>
          <w:caps w:val="0"/>
          <w:szCs w:val="24"/>
        </w:rPr>
        <w:t xml:space="preserve">4</w:t>
      </w:r>
      <w:r>
        <w:rPr>
          <w:b w:val="0"/>
          <w:caps w:val="0"/>
          <w:szCs w:val="24"/>
        </w:rPr>
        <w:t xml:space="preserve">.</w:t>
      </w:r>
      <w:r>
        <w:rPr>
          <w:b w:val="0"/>
          <w:caps w:val="0"/>
          <w:szCs w:val="24"/>
        </w:rPr>
        <w:t xml:space="preserve"> Согласие на обработку персональных данных</w:t>
      </w:r>
      <w:r>
        <w:rPr>
          <w:b w:val="0"/>
          <w:caps w:val="0"/>
          <w:szCs w:val="24"/>
        </w:rPr>
        <w:t xml:space="preserve"> </w:t>
      </w:r>
      <w:r>
        <w:rPr>
          <w:b w:val="0"/>
          <w:caps w:val="0"/>
          <w:szCs w:val="24"/>
        </w:rPr>
        <w:t xml:space="preserve">на _____ стр. </w:t>
      </w:r>
      <w:r>
        <w:rPr>
          <w:b w:val="0"/>
          <w:caps w:val="0"/>
          <w:szCs w:val="24"/>
        </w:rPr>
      </w:r>
      <w:r>
        <w:rPr>
          <w:b w:val="0"/>
          <w:caps w:val="0"/>
          <w:szCs w:val="24"/>
        </w:rPr>
      </w:r>
    </w:p>
    <w:p>
      <w:pPr>
        <w:pStyle w:val="1045"/>
        <w:spacing w:after="0"/>
        <w:rPr>
          <w:b w:val="0"/>
          <w:szCs w:val="24"/>
        </w:rPr>
      </w:pPr>
      <w:r>
        <w:rPr>
          <w:b w:val="0"/>
          <w:szCs w:val="24"/>
        </w:rPr>
      </w:r>
      <w:r>
        <w:rPr>
          <w:b w:val="0"/>
          <w:szCs w:val="24"/>
        </w:rPr>
      </w:r>
      <w:r>
        <w:rPr>
          <w:b w:val="0"/>
          <w:szCs w:val="24"/>
        </w:rPr>
      </w:r>
    </w:p>
    <w:p>
      <w:pPr>
        <w:pStyle w:val="1045"/>
        <w:spacing w:after="0"/>
        <w:rPr>
          <w:szCs w:val="24"/>
        </w:rPr>
      </w:pPr>
      <w:r>
        <w:rPr>
          <w:szCs w:val="24"/>
        </w:rPr>
        <w:t xml:space="preserve">1</w:t>
      </w:r>
      <w:r>
        <w:rPr>
          <w:szCs w:val="24"/>
        </w:rPr>
        <w:t xml:space="preserve">8</w:t>
      </w:r>
      <w:r>
        <w:rPr>
          <w:szCs w:val="24"/>
        </w:rPr>
        <w:t xml:space="preserve">. РЕКВИЗИТЫ  СТОРОН</w:t>
      </w:r>
      <w:r>
        <w:rPr>
          <w:szCs w:val="24"/>
        </w:rPr>
      </w:r>
      <w:r>
        <w:rPr>
          <w:szCs w:val="24"/>
        </w:rPr>
      </w:r>
    </w:p>
    <w:p>
      <w:pPr>
        <w:pStyle w:val="970"/>
        <w:rPr>
          <w:vanish/>
          <w:sz w:val="24"/>
        </w:rPr>
      </w:pPr>
      <w:r>
        <w:rPr>
          <w:vanish/>
          <w:sz w:val="24"/>
        </w:rPr>
      </w:r>
      <w:r>
        <w:rPr>
          <w:vanish/>
          <w:sz w:val="24"/>
        </w:rPr>
      </w:r>
      <w:r>
        <w:rPr>
          <w:vanish/>
          <w:sz w:val="24"/>
        </w:rPr>
      </w:r>
    </w:p>
    <w:tbl>
      <w:tblPr>
        <w:tblpPr w:horzAnchor="margin" w:tblpXSpec="left" w:vertAnchor="text" w:tblpY="75" w:leftFromText="180" w:topFromText="0" w:rightFromText="180" w:bottomFromText="0"/>
        <w:tblW w:w="10136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197"/>
        <w:gridCol w:w="4939"/>
      </w:tblGrid>
      <w:tr>
        <w:tblPrEx/>
        <w:trPr>
          <w:trHeight w:val="155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97" w:type="dxa"/>
            <w:vAlign w:val="top"/>
            <w:textDirection w:val="lrTb"/>
            <w:noWrap w:val="false"/>
          </w:tcPr>
          <w:p>
            <w:pPr>
              <w:pStyle w:val="970"/>
              <w:ind w:firstLine="357"/>
              <w:keepNext/>
              <w:rPr>
                <w:sz w:val="24"/>
              </w:rPr>
              <w:framePr w:hSpace="180" w:wrap="around" w:vAnchor="text" w:hAnchor="margin" w:y="75"/>
            </w:pPr>
            <w:r>
              <w:rPr>
                <w:sz w:val="24"/>
              </w:rPr>
              <w:t xml:space="preserve">Страховщик: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56"/>
              <w:ind w:firstLine="357"/>
              <w:jc w:val="both"/>
              <w:keepNext/>
              <w:tabs>
                <w:tab w:val="left" w:pos="1680" w:leader="none"/>
              </w:tabs>
              <w:rPr>
                <w:sz w:val="24"/>
                <w:szCs w:val="24"/>
              </w:rPr>
              <w:framePr w:hSpace="180" w:wrap="around" w:vAnchor="text" w:hAnchor="margin" w:y="75"/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6"/>
              <w:ind w:firstLine="357"/>
              <w:jc w:val="both"/>
              <w:keepNext/>
              <w:rPr>
                <w:bCs/>
                <w:sz w:val="24"/>
                <w:szCs w:val="24"/>
              </w:rPr>
              <w:framePr w:hSpace="180" w:wrap="around" w:vAnchor="text" w:hAnchor="margin" w:y="75"/>
            </w:pPr>
            <w:r>
              <w:rPr>
                <w:bCs/>
                <w:sz w:val="24"/>
                <w:szCs w:val="24"/>
              </w:rPr>
              <w:t xml:space="preserve">_______________     /_______________/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70"/>
              <w:ind w:firstLine="357"/>
              <w:keepNext/>
              <w:rPr>
                <w:sz w:val="24"/>
              </w:rPr>
              <w:framePr w:hSpace="180" w:wrap="around" w:vAnchor="text" w:hAnchor="margin" w:y="75"/>
            </w:pPr>
            <w:r>
              <w:rPr>
                <w:sz w:val="24"/>
              </w:rPr>
              <w:t xml:space="preserve">             МП                              ФИО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39" w:type="dxa"/>
            <w:vAlign w:val="top"/>
            <w:textDirection w:val="lrTb"/>
            <w:noWrap w:val="false"/>
          </w:tcPr>
          <w:p>
            <w:pPr>
              <w:pStyle w:val="970"/>
              <w:keepNext/>
              <w:rPr>
                <w:sz w:val="24"/>
              </w:rPr>
              <w:framePr w:hSpace="180" w:wrap="around" w:vAnchor="text" w:hAnchor="margin" w:y="75"/>
            </w:pPr>
            <w:r>
              <w:rPr>
                <w:sz w:val="24"/>
              </w:rPr>
              <w:t xml:space="preserve">Страхователь: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56"/>
              <w:ind w:firstLine="357"/>
              <w:jc w:val="both"/>
              <w:keepNext/>
              <w:tabs>
                <w:tab w:val="left" w:pos="1680" w:leader="none"/>
              </w:tabs>
              <w:rPr>
                <w:sz w:val="24"/>
                <w:szCs w:val="24"/>
              </w:rPr>
              <w:framePr w:hSpace="180" w:wrap="around" w:vAnchor="text" w:hAnchor="margin" w:y="75"/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6"/>
              <w:ind w:firstLine="357"/>
              <w:jc w:val="both"/>
              <w:keepNext/>
              <w:rPr>
                <w:bCs/>
                <w:sz w:val="24"/>
                <w:szCs w:val="24"/>
              </w:rPr>
              <w:framePr w:hSpace="180" w:wrap="around" w:vAnchor="text" w:hAnchor="margin" w:y="75"/>
            </w:pPr>
            <w:r>
              <w:rPr>
                <w:bCs/>
                <w:sz w:val="24"/>
                <w:szCs w:val="24"/>
              </w:rPr>
              <w:t xml:space="preserve">_______________     /_______________/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970"/>
              <w:ind w:firstLine="357"/>
              <w:keepNext/>
              <w:rPr>
                <w:sz w:val="24"/>
              </w:rPr>
              <w:framePr w:hSpace="180" w:wrap="around" w:vAnchor="text" w:hAnchor="margin" w:y="75"/>
            </w:pPr>
            <w:r>
              <w:rPr>
                <w:sz w:val="24"/>
              </w:rPr>
              <w:t xml:space="preserve">             МП                              ФИО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1057"/>
              <w:rPr>
                <w:rFonts w:eastAsia="Times New Roman"/>
                <w:bCs w:val="0"/>
                <w:szCs w:val="24"/>
              </w:rPr>
              <w:framePr w:hSpace="180" w:wrap="around" w:vAnchor="text" w:hAnchor="margin" w:y="75"/>
            </w:pPr>
            <w:r>
              <w:rPr>
                <w:rFonts w:eastAsia="Times New Roman"/>
                <w:bCs w:val="0"/>
                <w:szCs w:val="24"/>
              </w:rPr>
            </w:r>
            <w:r>
              <w:rPr>
                <w:rFonts w:eastAsia="Times New Roman"/>
                <w:bCs w:val="0"/>
                <w:szCs w:val="24"/>
              </w:rPr>
            </w:r>
            <w:r>
              <w:rPr>
                <w:rFonts w:eastAsia="Times New Roman"/>
                <w:bCs w:val="0"/>
                <w:szCs w:val="24"/>
              </w:rPr>
            </w:r>
          </w:p>
        </w:tc>
      </w:tr>
    </w:tbl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4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0" w:firstLine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Roman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931" w:hanging="851"/>
        <w:tabs>
          <w:tab w:val="num" w:pos="1931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3">
      <w:start w:val="1"/>
      <w:numFmt w:val="thaiNumbers"/>
      <w:isLgl w:val="false"/>
      <w:suff w:val="tab"/>
      <w:lvlText w:val="%4)"/>
      <w:lvlJc w:val="left"/>
      <w:pPr>
        <w:ind w:left="0" w:firstLine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Roman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268" w:hanging="567"/>
        <w:tabs>
          <w:tab w:val="num" w:pos="2268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835" w:hanging="567"/>
        <w:tabs>
          <w:tab w:val="num" w:pos="2835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9" w:hanging="1224"/>
        <w:tabs>
          <w:tab w:val="num" w:pos="4545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465" w:hanging="1440"/>
        <w:tabs>
          <w:tab w:val="num" w:pos="5265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  <w:rPr>
        <w:rFonts w:cs="Times New Roman"/>
        <w:bCs w:val="0"/>
        <w:iCs w:val="0"/>
        <w: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701" w:hanging="567"/>
        <w:tabs>
          <w:tab w:val="num" w:pos="1701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2552" w:hanging="851"/>
        <w:tabs>
          <w:tab w:val="num" w:pos="2552" w:leader="none"/>
        </w:tabs>
      </w:pPr>
      <w:rPr>
        <w:bCs w:val="0"/>
        <w:iCs w:val="0"/>
        <w:szCs w:val="28"/>
      </w:rPr>
    </w:lvl>
    <w:lvl w:ilvl="3">
      <w:start w:val="1"/>
      <w:numFmt w:val="thaiNumbers"/>
      <w:isLgl w:val="false"/>
      <w:suff w:val="tab"/>
      <w:lvlText w:val="%4)"/>
      <w:lvlJc w:val="left"/>
      <w:pPr>
        <w:ind w:left="0" w:firstLine="567"/>
        <w:tabs>
          <w:tab w:val="num" w:pos="1418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Roman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3762" w:hanging="567"/>
        <w:tabs>
          <w:tab w:val="num" w:pos="3762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4329" w:hanging="567"/>
        <w:tabs>
          <w:tab w:val="num" w:pos="4329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83" w:hanging="1224"/>
        <w:tabs>
          <w:tab w:val="num" w:pos="6039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9" w:hanging="1440"/>
        <w:tabs>
          <w:tab w:val="num" w:pos="6759" w:leader="none"/>
        </w:tabs>
      </w:pPr>
    </w:lvl>
  </w:abstractNum>
  <w:abstractNum w:abstractNumId="1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068" w:hanging="360"/>
        <w:tabs>
          <w:tab w:val="num" w:pos="1068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  <w:tabs>
          <w:tab w:val="num" w:pos="1069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068" w:hanging="360"/>
        <w:tabs>
          <w:tab w:val="num" w:pos="1068" w:leader="none"/>
        </w:tabs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31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9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6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3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0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7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5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2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955" w:hanging="180"/>
      </w:pPr>
    </w:lvl>
  </w:abstractNum>
  <w:abstractNum w:abstractNumId="1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71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972"/>
      <w:isLgl w:val="false"/>
      <w:suff w:val="tab"/>
      <w:lvlText w:val="%1.%2"/>
      <w:lvlJc w:val="left"/>
      <w:pPr>
        <w:ind w:left="1931" w:hanging="1364"/>
        <w:tabs>
          <w:tab w:val="num" w:pos="1931" w:leader="none"/>
        </w:tabs>
      </w:pPr>
      <w:rPr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22"/>
      <w:isLgl w:val="false"/>
      <w:suff w:val="tab"/>
      <w:lvlText w:val="%1.%2.%3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pStyle w:val="1013"/>
      <w:isLgl w:val="false"/>
      <w:suff w:val="tab"/>
      <w:lvlText w:val="%1.%2.%3.%4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bCs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20" w:hanging="360"/>
        <w:tabs>
          <w:tab w:val="num" w:pos="4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140" w:hanging="360"/>
        <w:tabs>
          <w:tab w:val="num" w:pos="11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60" w:hanging="360"/>
        <w:tabs>
          <w:tab w:val="num" w:pos="18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80" w:hanging="360"/>
        <w:tabs>
          <w:tab w:val="num" w:pos="25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00" w:hanging="360"/>
        <w:tabs>
          <w:tab w:val="num" w:pos="33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020" w:hanging="360"/>
        <w:tabs>
          <w:tab w:val="num" w:pos="40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40" w:hanging="360"/>
        <w:tabs>
          <w:tab w:val="num" w:pos="47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60" w:hanging="360"/>
        <w:tabs>
          <w:tab w:val="num" w:pos="54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80" w:hanging="360"/>
        <w:tabs>
          <w:tab w:val="num" w:pos="6180" w:leader="none"/>
        </w:tabs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413" w:firstLine="567"/>
        <w:tabs>
          <w:tab w:val="num" w:pos="2831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0" w:firstLine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2"/>
      <w:numFmt w:val="decimal"/>
      <w:isLgl w:val="false"/>
      <w:suff w:val="tab"/>
      <w:lvlText w:val="%1.%2"/>
      <w:lvlJc w:val="left"/>
      <w:pPr>
        <w:ind w:left="113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5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3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7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1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80" w:hanging="1800"/>
      </w:pPr>
    </w:lvl>
  </w:abstractNum>
  <w:abstractNum w:abstractNumId="23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3"/>
      <w:numFmt w:val="decimal"/>
      <w:isLgl w:val="false"/>
      <w:suff w:val="tab"/>
      <w:lvlText w:val="%1.%2"/>
      <w:lvlJc w:val="left"/>
      <w:pPr>
        <w:ind w:left="987" w:hanging="360"/>
        <w:tabs>
          <w:tab w:val="num" w:pos="98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974" w:hanging="720"/>
        <w:tabs>
          <w:tab w:val="num" w:pos="1974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601" w:hanging="720"/>
        <w:tabs>
          <w:tab w:val="num" w:pos="2601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588" w:hanging="1080"/>
        <w:tabs>
          <w:tab w:val="num" w:pos="358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215" w:hanging="1080"/>
        <w:tabs>
          <w:tab w:val="num" w:pos="421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202" w:hanging="1440"/>
        <w:tabs>
          <w:tab w:val="num" w:pos="5202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5829" w:hanging="1440"/>
        <w:tabs>
          <w:tab w:val="num" w:pos="5829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816" w:hanging="1800"/>
        <w:tabs>
          <w:tab w:val="num" w:pos="6816" w:leader="none"/>
        </w:tabs>
      </w:pPr>
    </w:lvl>
  </w:abstractNum>
  <w:abstractNum w:abstractNumId="2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68" w:hanging="540"/>
      </w:pPr>
      <w:rPr>
        <w:rFonts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5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59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6708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7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08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8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0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88" w:hanging="180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68" w:hanging="540"/>
      </w:pPr>
      <w:rPr>
        <w:rFonts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50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59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6708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7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08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58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0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388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 w:firstLine="0"/>
        <w:tabs>
          <w:tab w:val="num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80" w:hanging="180"/>
        <w:tabs>
          <w:tab w:val="num" w:pos="180" w:leader="none"/>
        </w:tabs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-545" w:hanging="360"/>
        <w:tabs>
          <w:tab w:val="num" w:pos="175" w:leader="none"/>
        </w:tabs>
      </w:pPr>
      <w:rPr>
        <w:rFonts w:ascii="Times New Roman" w:hAnsi="Times New Roman"/>
        <w:b/>
        <w:i w:val="0"/>
        <w:sz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175" w:hanging="180"/>
        <w:tabs>
          <w:tab w:val="num" w:pos="17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895" w:hanging="360"/>
        <w:tabs>
          <w:tab w:val="num" w:pos="89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1615" w:hanging="360"/>
        <w:tabs>
          <w:tab w:val="num" w:pos="161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2335" w:hanging="180"/>
        <w:tabs>
          <w:tab w:val="num" w:pos="233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055" w:hanging="360"/>
        <w:tabs>
          <w:tab w:val="num" w:pos="305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775" w:hanging="360"/>
        <w:tabs>
          <w:tab w:val="num" w:pos="377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4495" w:hanging="180"/>
        <w:tabs>
          <w:tab w:val="num" w:pos="4495" w:leader="none"/>
        </w:tabs>
      </w:p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sz w:val="40"/>
        <w:szCs w:val="40"/>
      </w:rPr>
    </w:lvl>
    <w:lvl w:ilvl="1">
      <w:start w:val="1"/>
      <w:numFmt w:val="decimal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1.%1."/>
      <w:lvlJc w:val="left"/>
      <w:pPr>
        <w:ind w:left="1287" w:hanging="360"/>
        <w:tabs>
          <w:tab w:val="num" w:pos="128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1047" w:hanging="480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955" w:hanging="1245"/>
        <w:tabs>
          <w:tab w:val="num" w:pos="99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664" w:hanging="1897"/>
        <w:tabs>
          <w:tab w:val="num" w:pos="266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373" w:hanging="1245"/>
        <w:tabs>
          <w:tab w:val="num" w:pos="3373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082" w:hanging="1245"/>
        <w:tabs>
          <w:tab w:val="num" w:pos="4082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791" w:hanging="1245"/>
        <w:tabs>
          <w:tab w:val="num" w:pos="479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00" w:hanging="1245"/>
        <w:tabs>
          <w:tab w:val="num" w:pos="55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404" w:hanging="1440"/>
        <w:tabs>
          <w:tab w:val="num" w:pos="640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13" w:hanging="1440"/>
        <w:tabs>
          <w:tab w:val="num" w:pos="711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182" w:hanging="1800"/>
        <w:tabs>
          <w:tab w:val="num" w:pos="8182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/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170" w:leader="none"/>
        </w:tabs>
      </w:pPr>
      <w:rPr>
        <w:rFonts w:ascii="Times New Roman" w:hAnsi="Times New Roman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64" w:hanging="864"/>
        <w:tabs>
          <w:tab w:val="num" w:pos="864" w:leader="none"/>
        </w:tabs>
      </w:pPr>
      <w:rPr>
        <w:rFonts w:ascii="Times New Roman" w:hAnsi="Times New Roman"/>
        <w:sz w:val="26"/>
        <w:szCs w:val="26"/>
      </w:rPr>
    </w:lvl>
    <w:lvl w:ilvl="4">
      <w:start w:val="1"/>
      <w:numFmt w:val="thaiNumbers"/>
      <w:isLgl w:val="false"/>
      <w:suff w:val="tab"/>
      <w:lvlText w:val="%5)"/>
      <w:lvlJc w:val="left"/>
      <w:pPr>
        <w:ind w:left="1800" w:hanging="360"/>
        <w:tabs>
          <w:tab w:val="num" w:pos="1800" w:leader="none"/>
        </w:tabs>
      </w:pPr>
      <w:rPr>
        <w:sz w:val="26"/>
        <w:szCs w:val="26"/>
      </w:rPr>
    </w:lvl>
    <w:lvl w:ilvl="5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cs="Times New Roman"/>
        <w:sz w:val="26"/>
        <w:szCs w:val="26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413" w:firstLine="567"/>
        <w:tabs>
          <w:tab w:val="num" w:pos="2831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1418" w:leader="none"/>
        </w:tabs>
      </w:pPr>
      <w:rPr>
        <w:b w:val="0"/>
        <w:bCs w:val="0"/>
        <w:i w:val="0"/>
        <w:iCs w:val="0"/>
      </w:rPr>
    </w:lvl>
    <w:lvl w:ilvl="3">
      <w:start w:val="1"/>
      <w:numFmt w:val="lowerLetter"/>
      <w:isLgl w:val="false"/>
      <w:suff w:val="tab"/>
      <w:lvlText w:val="%4)"/>
      <w:lvlJc w:val="left"/>
      <w:pPr>
        <w:ind w:left="0" w:firstLine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Roman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2268" w:hanging="567"/>
        <w:tabs>
          <w:tab w:val="num" w:pos="226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22" w:hanging="1224"/>
        <w:tabs>
          <w:tab w:val="num" w:pos="397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98" w:hanging="1440"/>
        <w:tabs>
          <w:tab w:val="num" w:pos="4698" w:leader="none"/>
        </w:tabs>
      </w:p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13"/>
  </w:num>
  <w:num w:numId="10">
    <w:abstractNumId w:val="6"/>
    <w:lvlOverride w:ilvl="0">
      <w:startOverride w:val="9"/>
    </w:lvlOverride>
    <w:lvlOverride w:ilvl="1">
      <w:startOverride w:val="5"/>
    </w:lvlOverride>
  </w:num>
  <w:num w:numId="11">
    <w:abstractNumId w:val="21"/>
  </w:num>
  <w:num w:numId="12">
    <w:abstractNumId w:val="36"/>
  </w:num>
  <w:num w:numId="13">
    <w:abstractNumId w:val="3"/>
  </w:num>
  <w:num w:numId="14">
    <w:abstractNumId w:val="0"/>
  </w:num>
  <w:num w:numId="15">
    <w:abstractNumId w:val="12"/>
  </w:num>
  <w:num w:numId="16">
    <w:abstractNumId w:val="24"/>
  </w:num>
  <w:num w:numId="17">
    <w:abstractNumId w:val="14"/>
  </w:num>
  <w:num w:numId="18">
    <w:abstractNumId w:val="11"/>
  </w:num>
  <w:num w:numId="19">
    <w:abstractNumId w:val="31"/>
  </w:num>
  <w:num w:numId="20">
    <w:abstractNumId w:val="7"/>
  </w:num>
  <w:num w:numId="21">
    <w:abstractNumId w:val="29"/>
  </w:num>
  <w:num w:numId="22">
    <w:abstractNumId w:val="30"/>
  </w:num>
  <w:num w:numId="23">
    <w:abstractNumId w:val="34"/>
  </w:num>
  <w:num w:numId="24">
    <w:abstractNumId w:val="19"/>
  </w:num>
  <w:num w:numId="25">
    <w:abstractNumId w:val="35"/>
  </w:num>
  <w:num w:numId="26">
    <w:abstractNumId w:val="5"/>
  </w:num>
  <w:num w:numId="27">
    <w:abstractNumId w:val="20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2"/>
  </w:num>
  <w:num w:numId="34">
    <w:abstractNumId w:val="4"/>
  </w:num>
  <w:num w:numId="35">
    <w:abstractNumId w:val="1"/>
  </w:num>
  <w:num w:numId="36">
    <w:abstractNumId w:val="26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33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2">
    <w:name w:val="Heading 1"/>
    <w:basedOn w:val="970"/>
    <w:next w:val="970"/>
    <w:link w:val="7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93">
    <w:name w:val="Heading 1 Char"/>
    <w:link w:val="792"/>
    <w:uiPriority w:val="9"/>
    <w:rPr>
      <w:rFonts w:ascii="Arial" w:hAnsi="Arial" w:eastAsia="Arial" w:cs="Arial"/>
      <w:sz w:val="40"/>
      <w:szCs w:val="40"/>
    </w:rPr>
  </w:style>
  <w:style w:type="paragraph" w:styleId="794">
    <w:name w:val="Heading 2"/>
    <w:basedOn w:val="970"/>
    <w:next w:val="970"/>
    <w:link w:val="7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95">
    <w:name w:val="Heading 2 Char"/>
    <w:link w:val="794"/>
    <w:uiPriority w:val="9"/>
    <w:rPr>
      <w:rFonts w:ascii="Arial" w:hAnsi="Arial" w:eastAsia="Arial" w:cs="Arial"/>
      <w:sz w:val="34"/>
    </w:rPr>
  </w:style>
  <w:style w:type="paragraph" w:styleId="796">
    <w:name w:val="Heading 3"/>
    <w:basedOn w:val="970"/>
    <w:next w:val="970"/>
    <w:link w:val="7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97">
    <w:name w:val="Heading 3 Char"/>
    <w:link w:val="796"/>
    <w:uiPriority w:val="9"/>
    <w:rPr>
      <w:rFonts w:ascii="Arial" w:hAnsi="Arial" w:eastAsia="Arial" w:cs="Arial"/>
      <w:sz w:val="30"/>
      <w:szCs w:val="30"/>
    </w:rPr>
  </w:style>
  <w:style w:type="paragraph" w:styleId="798">
    <w:name w:val="Heading 4"/>
    <w:basedOn w:val="970"/>
    <w:next w:val="970"/>
    <w:link w:val="7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99">
    <w:name w:val="Heading 4 Char"/>
    <w:link w:val="798"/>
    <w:uiPriority w:val="9"/>
    <w:rPr>
      <w:rFonts w:ascii="Arial" w:hAnsi="Arial" w:eastAsia="Arial" w:cs="Arial"/>
      <w:b/>
      <w:bCs/>
      <w:sz w:val="26"/>
      <w:szCs w:val="26"/>
    </w:rPr>
  </w:style>
  <w:style w:type="paragraph" w:styleId="800">
    <w:name w:val="Heading 5"/>
    <w:basedOn w:val="970"/>
    <w:next w:val="970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1">
    <w:name w:val="Heading 5 Char"/>
    <w:link w:val="800"/>
    <w:uiPriority w:val="9"/>
    <w:rPr>
      <w:rFonts w:ascii="Arial" w:hAnsi="Arial" w:eastAsia="Arial" w:cs="Arial"/>
      <w:b/>
      <w:bCs/>
      <w:sz w:val="24"/>
      <w:szCs w:val="24"/>
    </w:rPr>
  </w:style>
  <w:style w:type="paragraph" w:styleId="802">
    <w:name w:val="Heading 6"/>
    <w:basedOn w:val="970"/>
    <w:next w:val="970"/>
    <w:link w:val="8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3">
    <w:name w:val="Heading 6 Char"/>
    <w:link w:val="802"/>
    <w:uiPriority w:val="9"/>
    <w:rPr>
      <w:rFonts w:ascii="Arial" w:hAnsi="Arial" w:eastAsia="Arial" w:cs="Arial"/>
      <w:b/>
      <w:bCs/>
      <w:sz w:val="22"/>
      <w:szCs w:val="22"/>
    </w:rPr>
  </w:style>
  <w:style w:type="paragraph" w:styleId="804">
    <w:name w:val="Heading 7"/>
    <w:basedOn w:val="970"/>
    <w:next w:val="970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05">
    <w:name w:val="Heading 7 Char"/>
    <w:link w:val="8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06">
    <w:name w:val="Heading 8"/>
    <w:basedOn w:val="970"/>
    <w:next w:val="970"/>
    <w:link w:val="8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07">
    <w:name w:val="Heading 8 Char"/>
    <w:link w:val="806"/>
    <w:uiPriority w:val="9"/>
    <w:rPr>
      <w:rFonts w:ascii="Arial" w:hAnsi="Arial" w:eastAsia="Arial" w:cs="Arial"/>
      <w:i/>
      <w:iCs/>
      <w:sz w:val="22"/>
      <w:szCs w:val="22"/>
    </w:rPr>
  </w:style>
  <w:style w:type="paragraph" w:styleId="808">
    <w:name w:val="Heading 9"/>
    <w:basedOn w:val="970"/>
    <w:next w:val="970"/>
    <w:link w:val="8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>
    <w:name w:val="Heading 9 Char"/>
    <w:link w:val="808"/>
    <w:uiPriority w:val="9"/>
    <w:rPr>
      <w:rFonts w:ascii="Arial" w:hAnsi="Arial" w:eastAsia="Arial" w:cs="Arial"/>
      <w:i/>
      <w:iCs/>
      <w:sz w:val="21"/>
      <w:szCs w:val="21"/>
    </w:rPr>
  </w:style>
  <w:style w:type="paragraph" w:styleId="810">
    <w:name w:val="List Paragraph"/>
    <w:basedOn w:val="970"/>
    <w:uiPriority w:val="34"/>
    <w:qFormat/>
    <w:pPr>
      <w:contextualSpacing/>
      <w:ind w:left="720"/>
    </w:pPr>
  </w:style>
  <w:style w:type="paragraph" w:styleId="811">
    <w:name w:val="No Spacing"/>
    <w:uiPriority w:val="1"/>
    <w:qFormat/>
    <w:pPr>
      <w:spacing w:before="0" w:after="0" w:line="240" w:lineRule="auto"/>
    </w:pPr>
  </w:style>
  <w:style w:type="paragraph" w:styleId="812">
    <w:name w:val="Title"/>
    <w:basedOn w:val="970"/>
    <w:next w:val="970"/>
    <w:link w:val="8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3">
    <w:name w:val="Title Char"/>
    <w:link w:val="812"/>
    <w:uiPriority w:val="10"/>
    <w:rPr>
      <w:sz w:val="48"/>
      <w:szCs w:val="48"/>
    </w:rPr>
  </w:style>
  <w:style w:type="paragraph" w:styleId="814">
    <w:name w:val="Subtitle"/>
    <w:basedOn w:val="970"/>
    <w:next w:val="970"/>
    <w:link w:val="815"/>
    <w:uiPriority w:val="11"/>
    <w:qFormat/>
    <w:pPr>
      <w:spacing w:before="200" w:after="200"/>
    </w:pPr>
    <w:rPr>
      <w:sz w:val="24"/>
      <w:szCs w:val="24"/>
    </w:rPr>
  </w:style>
  <w:style w:type="character" w:styleId="815">
    <w:name w:val="Subtitle Char"/>
    <w:link w:val="814"/>
    <w:uiPriority w:val="11"/>
    <w:rPr>
      <w:sz w:val="24"/>
      <w:szCs w:val="24"/>
    </w:rPr>
  </w:style>
  <w:style w:type="paragraph" w:styleId="816">
    <w:name w:val="Quote"/>
    <w:basedOn w:val="970"/>
    <w:next w:val="970"/>
    <w:link w:val="817"/>
    <w:uiPriority w:val="29"/>
    <w:qFormat/>
    <w:pPr>
      <w:ind w:left="720" w:right="720"/>
    </w:pPr>
    <w:rPr>
      <w:i/>
    </w:rPr>
  </w:style>
  <w:style w:type="character" w:styleId="817">
    <w:name w:val="Quote Char"/>
    <w:link w:val="816"/>
    <w:uiPriority w:val="29"/>
    <w:rPr>
      <w:i/>
    </w:rPr>
  </w:style>
  <w:style w:type="paragraph" w:styleId="818">
    <w:name w:val="Intense Quote"/>
    <w:basedOn w:val="970"/>
    <w:next w:val="970"/>
    <w:link w:val="8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>
    <w:name w:val="Intense Quote Char"/>
    <w:link w:val="818"/>
    <w:uiPriority w:val="30"/>
    <w:rPr>
      <w:i/>
    </w:rPr>
  </w:style>
  <w:style w:type="paragraph" w:styleId="820">
    <w:name w:val="Header"/>
    <w:basedOn w:val="970"/>
    <w:link w:val="8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1">
    <w:name w:val="Header Char"/>
    <w:link w:val="820"/>
    <w:uiPriority w:val="99"/>
  </w:style>
  <w:style w:type="paragraph" w:styleId="822">
    <w:name w:val="Footer"/>
    <w:basedOn w:val="970"/>
    <w:link w:val="8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3">
    <w:name w:val="Footer Char"/>
    <w:link w:val="822"/>
    <w:uiPriority w:val="99"/>
  </w:style>
  <w:style w:type="paragraph" w:styleId="824">
    <w:name w:val="Caption"/>
    <w:basedOn w:val="970"/>
    <w:next w:val="970"/>
    <w:link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5">
    <w:name w:val="Caption Char"/>
    <w:basedOn w:val="824"/>
    <w:link w:val="822"/>
    <w:uiPriority w:val="99"/>
  </w:style>
  <w:style w:type="table" w:styleId="8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2">
    <w:name w:val="Hyperlink"/>
    <w:uiPriority w:val="99"/>
    <w:unhideWhenUsed/>
    <w:rPr>
      <w:color w:val="0000ff" w:themeColor="hyperlink"/>
      <w:u w:val="single"/>
    </w:rPr>
  </w:style>
  <w:style w:type="paragraph" w:styleId="953">
    <w:name w:val="footnote text"/>
    <w:basedOn w:val="970"/>
    <w:link w:val="954"/>
    <w:uiPriority w:val="99"/>
    <w:semiHidden/>
    <w:unhideWhenUsed/>
    <w:pPr>
      <w:spacing w:after="40" w:line="240" w:lineRule="auto"/>
    </w:pPr>
    <w:rPr>
      <w:sz w:val="18"/>
    </w:rPr>
  </w:style>
  <w:style w:type="character" w:styleId="954">
    <w:name w:val="Footnote Text Char"/>
    <w:link w:val="953"/>
    <w:uiPriority w:val="99"/>
    <w:rPr>
      <w:sz w:val="18"/>
    </w:rPr>
  </w:style>
  <w:style w:type="character" w:styleId="955">
    <w:name w:val="footnote reference"/>
    <w:uiPriority w:val="99"/>
    <w:unhideWhenUsed/>
    <w:rPr>
      <w:vertAlign w:val="superscript"/>
    </w:rPr>
  </w:style>
  <w:style w:type="paragraph" w:styleId="956">
    <w:name w:val="endnote text"/>
    <w:basedOn w:val="970"/>
    <w:link w:val="957"/>
    <w:uiPriority w:val="99"/>
    <w:semiHidden/>
    <w:unhideWhenUsed/>
    <w:pPr>
      <w:spacing w:after="0" w:line="240" w:lineRule="auto"/>
    </w:pPr>
    <w:rPr>
      <w:sz w:val="20"/>
    </w:rPr>
  </w:style>
  <w:style w:type="character" w:styleId="957">
    <w:name w:val="Endnote Text Char"/>
    <w:link w:val="956"/>
    <w:uiPriority w:val="99"/>
    <w:rPr>
      <w:sz w:val="20"/>
    </w:rPr>
  </w:style>
  <w:style w:type="character" w:styleId="958">
    <w:name w:val="endnote reference"/>
    <w:uiPriority w:val="99"/>
    <w:semiHidden/>
    <w:unhideWhenUsed/>
    <w:rPr>
      <w:vertAlign w:val="superscript"/>
    </w:rPr>
  </w:style>
  <w:style w:type="paragraph" w:styleId="959">
    <w:name w:val="toc 1"/>
    <w:basedOn w:val="970"/>
    <w:next w:val="970"/>
    <w:uiPriority w:val="39"/>
    <w:unhideWhenUsed/>
    <w:pPr>
      <w:ind w:left="0" w:right="0" w:firstLine="0"/>
      <w:spacing w:after="57"/>
    </w:pPr>
  </w:style>
  <w:style w:type="paragraph" w:styleId="960">
    <w:name w:val="toc 2"/>
    <w:basedOn w:val="970"/>
    <w:next w:val="970"/>
    <w:uiPriority w:val="39"/>
    <w:unhideWhenUsed/>
    <w:pPr>
      <w:ind w:left="283" w:right="0" w:firstLine="0"/>
      <w:spacing w:after="57"/>
    </w:pPr>
  </w:style>
  <w:style w:type="paragraph" w:styleId="961">
    <w:name w:val="toc 3"/>
    <w:basedOn w:val="970"/>
    <w:next w:val="970"/>
    <w:uiPriority w:val="39"/>
    <w:unhideWhenUsed/>
    <w:pPr>
      <w:ind w:left="567" w:right="0" w:firstLine="0"/>
      <w:spacing w:after="57"/>
    </w:pPr>
  </w:style>
  <w:style w:type="paragraph" w:styleId="962">
    <w:name w:val="toc 4"/>
    <w:basedOn w:val="970"/>
    <w:next w:val="970"/>
    <w:uiPriority w:val="39"/>
    <w:unhideWhenUsed/>
    <w:pPr>
      <w:ind w:left="850" w:right="0" w:firstLine="0"/>
      <w:spacing w:after="57"/>
    </w:pPr>
  </w:style>
  <w:style w:type="paragraph" w:styleId="963">
    <w:name w:val="toc 5"/>
    <w:basedOn w:val="970"/>
    <w:next w:val="970"/>
    <w:uiPriority w:val="39"/>
    <w:unhideWhenUsed/>
    <w:pPr>
      <w:ind w:left="1134" w:right="0" w:firstLine="0"/>
      <w:spacing w:after="57"/>
    </w:pPr>
  </w:style>
  <w:style w:type="paragraph" w:styleId="964">
    <w:name w:val="toc 6"/>
    <w:basedOn w:val="970"/>
    <w:next w:val="970"/>
    <w:uiPriority w:val="39"/>
    <w:unhideWhenUsed/>
    <w:pPr>
      <w:ind w:left="1417" w:right="0" w:firstLine="0"/>
      <w:spacing w:after="57"/>
    </w:pPr>
  </w:style>
  <w:style w:type="paragraph" w:styleId="965">
    <w:name w:val="toc 7"/>
    <w:basedOn w:val="970"/>
    <w:next w:val="970"/>
    <w:uiPriority w:val="39"/>
    <w:unhideWhenUsed/>
    <w:pPr>
      <w:ind w:left="1701" w:right="0" w:firstLine="0"/>
      <w:spacing w:after="57"/>
    </w:pPr>
  </w:style>
  <w:style w:type="paragraph" w:styleId="966">
    <w:name w:val="toc 8"/>
    <w:basedOn w:val="970"/>
    <w:next w:val="970"/>
    <w:uiPriority w:val="39"/>
    <w:unhideWhenUsed/>
    <w:pPr>
      <w:ind w:left="1984" w:right="0" w:firstLine="0"/>
      <w:spacing w:after="57"/>
    </w:pPr>
  </w:style>
  <w:style w:type="paragraph" w:styleId="967">
    <w:name w:val="toc 9"/>
    <w:basedOn w:val="970"/>
    <w:next w:val="970"/>
    <w:uiPriority w:val="39"/>
    <w:unhideWhenUsed/>
    <w:pPr>
      <w:ind w:left="2268" w:right="0" w:firstLine="0"/>
      <w:spacing w:after="57"/>
    </w:pPr>
  </w:style>
  <w:style w:type="paragraph" w:styleId="968">
    <w:name w:val="TOC Heading"/>
    <w:uiPriority w:val="39"/>
    <w:unhideWhenUsed/>
  </w:style>
  <w:style w:type="paragraph" w:styleId="969">
    <w:name w:val="table of figures"/>
    <w:basedOn w:val="970"/>
    <w:next w:val="970"/>
    <w:uiPriority w:val="99"/>
    <w:unhideWhenUsed/>
    <w:pPr>
      <w:spacing w:after="0" w:afterAutospacing="0"/>
    </w:pPr>
  </w:style>
  <w:style w:type="paragraph" w:styleId="970" w:default="1">
    <w:name w:val="Normal"/>
    <w:next w:val="970"/>
    <w:link w:val="970"/>
    <w:qFormat/>
    <w:pPr>
      <w:ind w:firstLine="567"/>
      <w:jc w:val="both"/>
    </w:pPr>
    <w:rPr>
      <w:sz w:val="28"/>
      <w:szCs w:val="24"/>
      <w:lang w:val="ru-RU" w:eastAsia="ru-RU" w:bidi="ar-SA"/>
    </w:rPr>
  </w:style>
  <w:style w:type="paragraph" w:styleId="971">
    <w:name w:val="Заголовок 1,Heading 1,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Б1,Б11,co"/>
    <w:basedOn w:val="970"/>
    <w:next w:val="970"/>
    <w:link w:val="983"/>
    <w:qFormat/>
    <w:pPr>
      <w:numPr>
        <w:ilvl w:val="0"/>
        <w:numId w:val="1"/>
      </w:numPr>
      <w:jc w:val="center"/>
      <w:keepLines/>
      <w:keepNext/>
      <w:pageBreakBefore/>
      <w:spacing w:before="720" w:after="240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972">
    <w:name w:val="Заголовок 2,Заголовок 2 Знак,H2,2,h2,Б2,RTC,iz2,Заголовок 21,Numbered text 3,HD2,heading 2,Heading 2 Hidden,Раздел Знак,Level 2 Topic Heading,H21,Major,CHS,H2-Heading 2,l2,Header2,22,heading2,list2,A,A.B.C.,list 2,Heading2,Heading Indent No L2,H"/>
    <w:basedOn w:val="970"/>
    <w:next w:val="970"/>
    <w:link w:val="984"/>
    <w:uiPriority w:val="9"/>
    <w:qFormat/>
    <w:pPr>
      <w:numPr>
        <w:ilvl w:val="1"/>
        <w:numId w:val="1"/>
      </w:numPr>
      <w:jc w:val="left"/>
      <w:keepNext/>
      <w:spacing w:before="360" w:after="120"/>
      <w:outlineLvl w:val="1"/>
    </w:pPr>
    <w:rPr>
      <w:b/>
      <w:bCs/>
      <w:smallCaps/>
      <w:sz w:val="32"/>
      <w:szCs w:val="28"/>
    </w:rPr>
  </w:style>
  <w:style w:type="paragraph" w:styleId="973">
    <w:name w:val="Заголовок 3,H3"/>
    <w:basedOn w:val="970"/>
    <w:next w:val="970"/>
    <w:link w:val="985"/>
    <w:qFormat/>
    <w:pPr>
      <w:ind w:firstLine="0"/>
      <w:jc w:val="left"/>
      <w:keepNext/>
      <w:spacing w:before="120" w:after="120"/>
      <w:tabs>
        <w:tab w:val="num" w:pos="2160" w:leader="none"/>
      </w:tabs>
      <w:outlineLvl w:val="2"/>
    </w:pPr>
    <w:rPr>
      <w:b/>
      <w:bCs/>
    </w:rPr>
  </w:style>
  <w:style w:type="paragraph" w:styleId="974">
    <w:name w:val="Заголовок 4, Знак30"/>
    <w:basedOn w:val="970"/>
    <w:next w:val="970"/>
    <w:link w:val="986"/>
    <w:qFormat/>
    <w:pPr>
      <w:ind w:firstLine="0"/>
      <w:keepNext/>
      <w:spacing w:before="240" w:after="120"/>
      <w:tabs>
        <w:tab w:val="left" w:pos="1134" w:leader="none"/>
        <w:tab w:val="num" w:pos="2880" w:leader="none"/>
      </w:tabs>
      <w:outlineLvl w:val="3"/>
    </w:pPr>
    <w:rPr>
      <w:b/>
      <w:bCs/>
      <w:i/>
      <w:iCs/>
    </w:rPr>
  </w:style>
  <w:style w:type="paragraph" w:styleId="975">
    <w:name w:val="Заголовок 5"/>
    <w:basedOn w:val="970"/>
    <w:next w:val="970"/>
    <w:link w:val="987"/>
    <w:qFormat/>
    <w:pPr>
      <w:ind w:firstLine="0"/>
      <w:keepNext/>
      <w:spacing w:before="60"/>
      <w:tabs>
        <w:tab w:val="num" w:pos="1008" w:leader="none"/>
        <w:tab w:val="num" w:pos="3600" w:leader="none"/>
      </w:tabs>
      <w:outlineLvl w:val="4"/>
    </w:pPr>
    <w:rPr>
      <w:b/>
      <w:bCs/>
      <w:sz w:val="26"/>
      <w:szCs w:val="26"/>
    </w:rPr>
  </w:style>
  <w:style w:type="paragraph" w:styleId="976">
    <w:name w:val="Заголовок 6"/>
    <w:basedOn w:val="970"/>
    <w:next w:val="970"/>
    <w:link w:val="988"/>
    <w:qFormat/>
    <w:pPr>
      <w:ind w:firstLine="0"/>
      <w:spacing w:before="240" w:after="60"/>
      <w:widowControl w:val="off"/>
      <w:tabs>
        <w:tab w:val="num" w:pos="1152" w:leader="none"/>
        <w:tab w:val="num" w:pos="4320" w:leader="none"/>
      </w:tabs>
      <w:outlineLvl w:val="5"/>
    </w:pPr>
    <w:rPr>
      <w:b/>
      <w:bCs/>
    </w:rPr>
  </w:style>
  <w:style w:type="paragraph" w:styleId="977">
    <w:name w:val="Заголовок 7"/>
    <w:basedOn w:val="970"/>
    <w:next w:val="970"/>
    <w:link w:val="989"/>
    <w:qFormat/>
    <w:pPr>
      <w:ind w:firstLine="0"/>
      <w:spacing w:before="240" w:after="60"/>
      <w:widowControl w:val="off"/>
      <w:tabs>
        <w:tab w:val="num" w:pos="1296" w:leader="none"/>
        <w:tab w:val="num" w:pos="5040" w:leader="none"/>
      </w:tabs>
      <w:outlineLvl w:val="6"/>
    </w:pPr>
    <w:rPr>
      <w:sz w:val="26"/>
      <w:szCs w:val="26"/>
    </w:rPr>
  </w:style>
  <w:style w:type="paragraph" w:styleId="978">
    <w:name w:val="Заголовок 8"/>
    <w:basedOn w:val="970"/>
    <w:next w:val="970"/>
    <w:link w:val="990"/>
    <w:qFormat/>
    <w:pPr>
      <w:ind w:firstLine="0"/>
      <w:spacing w:before="240" w:after="60"/>
      <w:widowControl w:val="off"/>
      <w:tabs>
        <w:tab w:val="num" w:pos="1440" w:leader="none"/>
        <w:tab w:val="num" w:pos="5760" w:leader="none"/>
      </w:tabs>
      <w:outlineLvl w:val="7"/>
    </w:pPr>
    <w:rPr>
      <w:i/>
      <w:iCs/>
      <w:sz w:val="26"/>
      <w:szCs w:val="26"/>
    </w:rPr>
  </w:style>
  <w:style w:type="paragraph" w:styleId="979">
    <w:name w:val="Заголовок 9"/>
    <w:basedOn w:val="970"/>
    <w:next w:val="970"/>
    <w:link w:val="991"/>
    <w:qFormat/>
    <w:pPr>
      <w:ind w:firstLine="0"/>
      <w:spacing w:before="240" w:after="60"/>
      <w:widowControl w:val="off"/>
      <w:tabs>
        <w:tab w:val="num" w:pos="1584" w:leader="none"/>
        <w:tab w:val="num" w:pos="6480" w:leader="none"/>
      </w:tabs>
      <w:outlineLvl w:val="8"/>
    </w:pPr>
  </w:style>
  <w:style w:type="character" w:styleId="980">
    <w:name w:val="Основной шрифт абзаца"/>
    <w:next w:val="980"/>
    <w:link w:val="970"/>
    <w:semiHidden/>
  </w:style>
  <w:style w:type="table" w:styleId="981">
    <w:name w:val="Обычная таблица"/>
    <w:next w:val="981"/>
    <w:link w:val="970"/>
    <w:semiHidden/>
    <w:tblPr/>
  </w:style>
  <w:style w:type="numbering" w:styleId="982">
    <w:name w:val="Нет списка"/>
    <w:next w:val="982"/>
    <w:link w:val="970"/>
    <w:uiPriority w:val="99"/>
    <w:semiHidden/>
  </w:style>
  <w:style w:type="character" w:styleId="983">
    <w:name w:val="Заголовок 1 Знак,Heading 1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Ðàçäåë Знак"/>
    <w:next w:val="983"/>
    <w:link w:val="971"/>
    <w:rPr>
      <w:rFonts w:ascii="Arial" w:hAnsi="Arial" w:cs="Arial"/>
      <w:b/>
      <w:bCs/>
      <w:caps/>
      <w:sz w:val="36"/>
      <w:szCs w:val="36"/>
      <w:lang w:val="ru-RU" w:eastAsia="ru-RU" w:bidi="ar-SA"/>
    </w:rPr>
  </w:style>
  <w:style w:type="character" w:styleId="984">
    <w:name w:val="Заголовок 2 Знак1,Заголовок 2 Знак Знак,H2 Знак"/>
    <w:next w:val="984"/>
    <w:link w:val="972"/>
    <w:rPr>
      <w:b/>
      <w:bCs/>
      <w:smallCaps/>
      <w:sz w:val="32"/>
      <w:szCs w:val="28"/>
      <w:lang w:val="ru-RU" w:eastAsia="ru-RU" w:bidi="ar-SA"/>
    </w:rPr>
  </w:style>
  <w:style w:type="character" w:styleId="985">
    <w:name w:val="Заголовок 3 Знак,H3 Знак"/>
    <w:next w:val="985"/>
    <w:link w:val="973"/>
    <w:rPr>
      <w:b/>
      <w:bCs/>
      <w:sz w:val="28"/>
      <w:szCs w:val="24"/>
      <w:lang w:val="ru-RU" w:eastAsia="ru-RU" w:bidi="ar-SA"/>
    </w:rPr>
  </w:style>
  <w:style w:type="character" w:styleId="986">
    <w:name w:val="Заголовок 4 Знак, Знак30 Знак"/>
    <w:next w:val="986"/>
    <w:link w:val="974"/>
    <w:rPr>
      <w:b/>
      <w:bCs/>
      <w:i/>
      <w:iCs/>
      <w:sz w:val="28"/>
      <w:szCs w:val="24"/>
      <w:lang w:val="ru-RU" w:eastAsia="ru-RU" w:bidi="ar-SA"/>
    </w:rPr>
  </w:style>
  <w:style w:type="character" w:styleId="987">
    <w:name w:val="Заголовок 5 Знак"/>
    <w:next w:val="987"/>
    <w:link w:val="975"/>
    <w:rPr>
      <w:b/>
      <w:bCs/>
      <w:sz w:val="26"/>
      <w:szCs w:val="26"/>
      <w:lang w:val="ru-RU" w:eastAsia="ru-RU" w:bidi="ar-SA"/>
    </w:rPr>
  </w:style>
  <w:style w:type="character" w:styleId="988">
    <w:name w:val="Заголовок 6 Знак"/>
    <w:next w:val="988"/>
    <w:link w:val="976"/>
    <w:rPr>
      <w:b/>
      <w:bCs/>
      <w:sz w:val="28"/>
      <w:szCs w:val="24"/>
      <w:lang w:val="ru-RU" w:eastAsia="ru-RU" w:bidi="ar-SA"/>
    </w:rPr>
  </w:style>
  <w:style w:type="character" w:styleId="989">
    <w:name w:val="Заголовок 7 Знак"/>
    <w:next w:val="989"/>
    <w:link w:val="977"/>
    <w:rPr>
      <w:sz w:val="26"/>
      <w:szCs w:val="26"/>
      <w:lang w:val="ru-RU" w:eastAsia="ru-RU" w:bidi="ar-SA"/>
    </w:rPr>
  </w:style>
  <w:style w:type="character" w:styleId="990">
    <w:name w:val="Заголовок 8 Знак"/>
    <w:next w:val="990"/>
    <w:link w:val="978"/>
    <w:rPr>
      <w:i/>
      <w:iCs/>
      <w:sz w:val="26"/>
      <w:szCs w:val="26"/>
      <w:lang w:val="ru-RU" w:eastAsia="ru-RU" w:bidi="ar-SA"/>
    </w:rPr>
  </w:style>
  <w:style w:type="character" w:styleId="991">
    <w:name w:val="Заголовок 9 Знак"/>
    <w:next w:val="991"/>
    <w:link w:val="979"/>
    <w:rPr>
      <w:sz w:val="28"/>
      <w:szCs w:val="24"/>
      <w:lang w:val="ru-RU" w:eastAsia="ru-RU" w:bidi="ar-SA"/>
    </w:rPr>
  </w:style>
  <w:style w:type="paragraph" w:styleId="992">
    <w:name w:val="Верхний колонтитул"/>
    <w:basedOn w:val="970"/>
    <w:next w:val="992"/>
    <w:link w:val="993"/>
    <w:pPr>
      <w:ind w:firstLine="0"/>
      <w:jc w:val="center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iCs/>
      <w:sz w:val="20"/>
      <w:szCs w:val="20"/>
    </w:rPr>
  </w:style>
  <w:style w:type="character" w:styleId="993">
    <w:name w:val="Верхний колонтитул Знак"/>
    <w:next w:val="993"/>
    <w:link w:val="992"/>
    <w:rPr>
      <w:i/>
      <w:iCs/>
      <w:lang w:val="ru-RU" w:eastAsia="ru-RU" w:bidi="ar-SA"/>
    </w:rPr>
  </w:style>
  <w:style w:type="paragraph" w:styleId="994">
    <w:name w:val="Нижний колонтитул"/>
    <w:basedOn w:val="970"/>
    <w:next w:val="994"/>
    <w:link w:val="995"/>
    <w:pPr>
      <w:ind w:firstLine="0"/>
      <w:tabs>
        <w:tab w:val="center" w:pos="4253" w:leader="none"/>
        <w:tab w:val="right" w:pos="9356" w:leader="none"/>
      </w:tabs>
    </w:pPr>
    <w:rPr>
      <w:sz w:val="20"/>
      <w:szCs w:val="20"/>
    </w:rPr>
  </w:style>
  <w:style w:type="character" w:styleId="995">
    <w:name w:val="Нижний колонтитул Знак"/>
    <w:next w:val="995"/>
    <w:link w:val="994"/>
    <w:rPr>
      <w:lang w:val="ru-RU" w:eastAsia="ru-RU" w:bidi="ar-SA"/>
    </w:rPr>
  </w:style>
  <w:style w:type="paragraph" w:styleId="996">
    <w:name w:val="Главы"/>
    <w:basedOn w:val="997"/>
    <w:next w:val="970"/>
    <w:link w:val="970"/>
    <w:semiHidden/>
    <w:pPr>
      <w:numPr>
        <w:ilvl w:val="3"/>
        <w:numId w:val="1"/>
      </w:num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997">
    <w:name w:val="Структура"/>
    <w:basedOn w:val="970"/>
    <w:next w:val="997"/>
    <w:link w:val="970"/>
    <w:semiHidden/>
    <w:pPr>
      <w:ind w:right="2835" w:firstLine="0"/>
      <w:jc w:val="left"/>
      <w:pageBreakBefore/>
      <w:spacing w:before="480" w:after="240"/>
      <w:tabs>
        <w:tab w:val="left" w:pos="851" w:leader="none"/>
      </w:tabs>
      <w:pBdr>
        <w:bottom w:val="single" w:color="000000" w:sz="24" w:space="1"/>
      </w:pBdr>
      <w:outlineLvl w:val="0"/>
    </w:pPr>
    <w:rPr>
      <w:b/>
      <w:bCs/>
      <w:caps/>
      <w:sz w:val="36"/>
      <w:szCs w:val="36"/>
    </w:rPr>
  </w:style>
  <w:style w:type="paragraph" w:styleId="998">
    <w:name w:val="Название"/>
    <w:basedOn w:val="970"/>
    <w:next w:val="998"/>
    <w:link w:val="999"/>
    <w:qFormat/>
    <w:pPr>
      <w:ind w:firstLine="0"/>
      <w:jc w:val="center"/>
    </w:pPr>
    <w:rPr>
      <w:lang w:eastAsia="en-US"/>
    </w:rPr>
  </w:style>
  <w:style w:type="character" w:styleId="999">
    <w:name w:val="Название Знак"/>
    <w:next w:val="999"/>
    <w:link w:val="998"/>
    <w:rPr>
      <w:sz w:val="28"/>
      <w:szCs w:val="24"/>
      <w:lang w:val="ru-RU" w:eastAsia="en-US" w:bidi="ar-SA"/>
    </w:rPr>
  </w:style>
  <w:style w:type="paragraph" w:styleId="1000">
    <w:name w:val="Пункт"/>
    <w:basedOn w:val="970"/>
    <w:next w:val="1000"/>
    <w:link w:val="1001"/>
    <w:pPr>
      <w:numPr>
        <w:ilvl w:val="2"/>
        <w:numId w:val="1"/>
      </w:numPr>
    </w:pPr>
  </w:style>
  <w:style w:type="character" w:styleId="1001">
    <w:name w:val="Пункт Знак1"/>
    <w:next w:val="1001"/>
    <w:link w:val="1000"/>
    <w:rPr>
      <w:sz w:val="28"/>
      <w:szCs w:val="24"/>
      <w:lang w:val="ru-RU" w:eastAsia="ru-RU" w:bidi="ar-SA"/>
    </w:rPr>
  </w:style>
  <w:style w:type="paragraph" w:styleId="1002">
    <w:name w:val="Текст выноски"/>
    <w:basedOn w:val="970"/>
    <w:next w:val="1002"/>
    <w:link w:val="1003"/>
    <w:semiHidden/>
    <w:pPr>
      <w:spacing w:line="360" w:lineRule="auto"/>
    </w:pPr>
    <w:rPr>
      <w:rFonts w:ascii="Tahoma" w:hAnsi="Tahoma" w:cs="Tahoma"/>
      <w:sz w:val="16"/>
      <w:szCs w:val="16"/>
    </w:rPr>
  </w:style>
  <w:style w:type="character" w:styleId="1003">
    <w:name w:val="Текст выноски Знак"/>
    <w:next w:val="1003"/>
    <w:link w:val="1002"/>
    <w:rPr>
      <w:rFonts w:ascii="Tahoma" w:hAnsi="Tahoma" w:cs="Tahoma"/>
      <w:sz w:val="16"/>
      <w:szCs w:val="16"/>
      <w:lang w:val="ru-RU" w:eastAsia="ru-RU" w:bidi="ar-SA"/>
    </w:rPr>
  </w:style>
  <w:style w:type="paragraph" w:styleId="1004">
    <w:name w:val="Текст примечания"/>
    <w:basedOn w:val="970"/>
    <w:next w:val="1004"/>
    <w:link w:val="1005"/>
    <w:semiHidden/>
    <w:pPr>
      <w:spacing w:line="360" w:lineRule="auto"/>
    </w:pPr>
    <w:rPr>
      <w:sz w:val="20"/>
      <w:szCs w:val="20"/>
    </w:rPr>
  </w:style>
  <w:style w:type="character" w:styleId="1005">
    <w:name w:val="Текст примечания Знак"/>
    <w:next w:val="1005"/>
    <w:link w:val="1004"/>
    <w:semiHidden/>
    <w:rPr>
      <w:lang w:val="ru-RU" w:eastAsia="ru-RU" w:bidi="ar-SA"/>
    </w:rPr>
  </w:style>
  <w:style w:type="paragraph" w:styleId="1006">
    <w:name w:val="Тема примечания"/>
    <w:basedOn w:val="1004"/>
    <w:next w:val="1004"/>
    <w:link w:val="1007"/>
    <w:semiHidden/>
    <w:rPr>
      <w:b/>
      <w:bCs/>
    </w:rPr>
  </w:style>
  <w:style w:type="character" w:styleId="1007">
    <w:name w:val="Тема примечания Знак"/>
    <w:next w:val="1007"/>
    <w:link w:val="1006"/>
    <w:semiHidden/>
    <w:rPr>
      <w:b/>
      <w:bCs/>
      <w:lang w:val="ru-RU" w:eastAsia="ru-RU" w:bidi="ar-SA"/>
    </w:rPr>
  </w:style>
  <w:style w:type="paragraph" w:styleId="1008">
    <w:name w:val="Основной текст, Знак19"/>
    <w:basedOn w:val="970"/>
    <w:next w:val="1008"/>
    <w:link w:val="1009"/>
    <w:pPr>
      <w:ind w:firstLine="0"/>
      <w:jc w:val="left"/>
      <w:spacing w:before="274"/>
      <w:shd w:val="clear" w:color="auto" w:fill="ffffff"/>
      <w:tabs>
        <w:tab w:val="left" w:pos="1070" w:leader="none"/>
      </w:tabs>
    </w:pPr>
    <w:rPr>
      <w:b/>
      <w:bCs/>
      <w:i/>
      <w:iCs/>
      <w:color w:val="000000"/>
      <w:spacing w:val="2"/>
      <w:sz w:val="22"/>
    </w:rPr>
  </w:style>
  <w:style w:type="character" w:styleId="1009">
    <w:name w:val="Основной текст Знак, Знак19 Знак"/>
    <w:next w:val="1009"/>
    <w:link w:val="1008"/>
    <w:rPr>
      <w:b/>
      <w:bCs/>
      <w:i/>
      <w:iCs/>
      <w:color w:val="000000"/>
      <w:spacing w:val="2"/>
      <w:sz w:val="22"/>
      <w:szCs w:val="24"/>
      <w:lang w:val="ru-RU" w:eastAsia="ru-RU" w:bidi="ar-SA"/>
    </w:rPr>
  </w:style>
  <w:style w:type="paragraph" w:styleId="1010">
    <w:name w:val="Основной текст 2"/>
    <w:basedOn w:val="970"/>
    <w:next w:val="1010"/>
    <w:link w:val="970"/>
    <w:pPr>
      <w:ind w:firstLine="0"/>
      <w:jc w:val="left"/>
      <w:spacing w:line="278" w:lineRule="exact"/>
      <w:shd w:val="clear" w:color="auto" w:fill="ffffff"/>
      <w:tabs>
        <w:tab w:val="left" w:pos="1003" w:leader="none"/>
      </w:tabs>
    </w:pPr>
    <w:rPr>
      <w:color w:val="000000"/>
      <w:sz w:val="22"/>
    </w:rPr>
  </w:style>
  <w:style w:type="paragraph" w:styleId="1011">
    <w:name w:val="Основной текст с отступом"/>
    <w:basedOn w:val="970"/>
    <w:next w:val="1011"/>
    <w:link w:val="1012"/>
    <w:pPr>
      <w:ind w:left="283"/>
      <w:spacing w:after="120"/>
    </w:pPr>
  </w:style>
  <w:style w:type="character" w:styleId="1012">
    <w:name w:val="Основной текст с отступом Знак"/>
    <w:next w:val="1012"/>
    <w:link w:val="1011"/>
    <w:rPr>
      <w:sz w:val="28"/>
      <w:szCs w:val="24"/>
      <w:lang w:val="ru-RU" w:eastAsia="ru-RU" w:bidi="ar-SA"/>
    </w:rPr>
  </w:style>
  <w:style w:type="paragraph" w:styleId="1013">
    <w:name w:val="Основной текст 3"/>
    <w:basedOn w:val="970"/>
    <w:next w:val="1013"/>
    <w:link w:val="1014"/>
    <w:pPr>
      <w:ind w:right="14" w:firstLine="0"/>
      <w:jc w:val="left"/>
      <w:spacing w:before="125" w:line="317" w:lineRule="exact"/>
      <w:shd w:val="clear" w:color="auto" w:fill="ffffff"/>
    </w:pPr>
    <w:rPr>
      <w:color w:val="000000"/>
      <w:sz w:val="22"/>
      <w:szCs w:val="28"/>
    </w:rPr>
  </w:style>
  <w:style w:type="character" w:styleId="1014">
    <w:name w:val="Основной текст 3 Знак"/>
    <w:next w:val="1014"/>
    <w:link w:val="1013"/>
    <w:rPr>
      <w:color w:val="000000"/>
      <w:sz w:val="22"/>
      <w:szCs w:val="28"/>
      <w:lang w:val="ru-RU" w:eastAsia="ru-RU" w:bidi="ar-SA"/>
    </w:rPr>
  </w:style>
  <w:style w:type="paragraph" w:styleId="1015">
    <w:name w:val="Основной текст с отступом 2, Знак,Знак"/>
    <w:basedOn w:val="970"/>
    <w:next w:val="1015"/>
    <w:link w:val="1016"/>
    <w:pPr>
      <w:ind w:left="283"/>
      <w:spacing w:after="120" w:line="480" w:lineRule="auto"/>
    </w:pPr>
  </w:style>
  <w:style w:type="character" w:styleId="1016">
    <w:name w:val="Основной текст с отступом 2 Знак, Знак Знак,Знак Знак"/>
    <w:next w:val="1016"/>
    <w:link w:val="1015"/>
    <w:rPr>
      <w:sz w:val="28"/>
      <w:szCs w:val="24"/>
      <w:lang w:val="ru-RU" w:eastAsia="ru-RU" w:bidi="ar-SA"/>
    </w:rPr>
  </w:style>
  <w:style w:type="paragraph" w:styleId="1017">
    <w:name w:val="Адрес HTML"/>
    <w:basedOn w:val="970"/>
    <w:next w:val="1017"/>
    <w:link w:val="1018"/>
    <w:rPr>
      <w:i/>
      <w:iCs/>
    </w:rPr>
  </w:style>
  <w:style w:type="character" w:styleId="1018">
    <w:name w:val="Адрес HTML Знак"/>
    <w:next w:val="1018"/>
    <w:link w:val="1017"/>
    <w:rPr>
      <w:i/>
      <w:iCs/>
      <w:sz w:val="28"/>
      <w:szCs w:val="24"/>
      <w:lang w:val="ru-RU" w:eastAsia="ru-RU" w:bidi="ar-SA"/>
    </w:rPr>
  </w:style>
  <w:style w:type="paragraph" w:styleId="1019">
    <w:name w:val="Дата"/>
    <w:basedOn w:val="970"/>
    <w:next w:val="970"/>
    <w:link w:val="1020"/>
  </w:style>
  <w:style w:type="character" w:styleId="1020">
    <w:name w:val="Дата Знак"/>
    <w:next w:val="1020"/>
    <w:link w:val="1019"/>
    <w:rPr>
      <w:sz w:val="28"/>
      <w:szCs w:val="24"/>
      <w:lang w:val="ru-RU" w:eastAsia="ru-RU" w:bidi="ar-SA"/>
    </w:rPr>
  </w:style>
  <w:style w:type="paragraph" w:styleId="1021">
    <w:name w:val="Заголовок записки"/>
    <w:basedOn w:val="970"/>
    <w:next w:val="970"/>
    <w:link w:val="1022"/>
  </w:style>
  <w:style w:type="character" w:styleId="1022">
    <w:name w:val="Заголовок записки Знак"/>
    <w:next w:val="1022"/>
    <w:link w:val="1021"/>
    <w:rPr>
      <w:sz w:val="28"/>
      <w:szCs w:val="24"/>
      <w:lang w:val="ru-RU" w:eastAsia="ru-RU" w:bidi="ar-SA"/>
    </w:rPr>
  </w:style>
  <w:style w:type="paragraph" w:styleId="1023">
    <w:name w:val="Красная строка"/>
    <w:basedOn w:val="1008"/>
    <w:next w:val="1023"/>
    <w:link w:val="1024"/>
    <w:pPr>
      <w:ind w:firstLine="210"/>
      <w:jc w:val="both"/>
      <w:spacing w:before="0" w:after="120"/>
      <w:shd w:val="clear" w:color="auto" w:fill="auto"/>
      <w:tabs>
        <w:tab w:val="clear" w:pos="1070" w:leader="none"/>
      </w:tabs>
    </w:pPr>
    <w:rPr>
      <w:sz w:val="24"/>
    </w:rPr>
  </w:style>
  <w:style w:type="character" w:styleId="1024">
    <w:name w:val="Красная строка Знак"/>
    <w:next w:val="1024"/>
    <w:link w:val="1023"/>
    <w:rPr>
      <w:b/>
      <w:bCs/>
      <w:i/>
      <w:iCs/>
      <w:color w:val="000000"/>
      <w:spacing w:val="2"/>
      <w:sz w:val="24"/>
      <w:szCs w:val="24"/>
      <w:lang w:val="ru-RU" w:eastAsia="ru-RU" w:bidi="ar-SA"/>
    </w:rPr>
  </w:style>
  <w:style w:type="paragraph" w:styleId="1025">
    <w:name w:val="Красная строка 2"/>
    <w:basedOn w:val="970"/>
    <w:next w:val="1025"/>
    <w:link w:val="1026"/>
    <w:pPr>
      <w:ind w:left="283" w:firstLine="210"/>
      <w:spacing w:after="120"/>
    </w:pPr>
  </w:style>
  <w:style w:type="character" w:styleId="1026">
    <w:name w:val="Красная строка 2 Знак"/>
    <w:basedOn w:val="1012"/>
    <w:next w:val="1026"/>
    <w:link w:val="1025"/>
  </w:style>
  <w:style w:type="paragraph" w:styleId="1027">
    <w:name w:val="Основной текст с отступом 3"/>
    <w:basedOn w:val="970"/>
    <w:next w:val="1027"/>
    <w:link w:val="1028"/>
    <w:pPr>
      <w:ind w:left="283"/>
      <w:spacing w:after="120"/>
    </w:pPr>
    <w:rPr>
      <w:sz w:val="16"/>
      <w:szCs w:val="16"/>
    </w:rPr>
  </w:style>
  <w:style w:type="character" w:styleId="1028">
    <w:name w:val="Основной текст с отступом 3 Знак"/>
    <w:next w:val="1028"/>
    <w:link w:val="1027"/>
    <w:rPr>
      <w:sz w:val="16"/>
      <w:szCs w:val="16"/>
      <w:lang w:val="ru-RU" w:eastAsia="ru-RU" w:bidi="ar-SA"/>
    </w:rPr>
  </w:style>
  <w:style w:type="paragraph" w:styleId="1029">
    <w:name w:val="Подпись"/>
    <w:basedOn w:val="970"/>
    <w:next w:val="1029"/>
    <w:link w:val="1030"/>
    <w:pPr>
      <w:ind w:left="4252"/>
    </w:pPr>
  </w:style>
  <w:style w:type="character" w:styleId="1030">
    <w:name w:val="Подпись Знак"/>
    <w:next w:val="1030"/>
    <w:link w:val="1029"/>
    <w:rPr>
      <w:sz w:val="28"/>
      <w:szCs w:val="24"/>
      <w:lang w:val="ru-RU" w:eastAsia="ru-RU" w:bidi="ar-SA"/>
    </w:rPr>
  </w:style>
  <w:style w:type="paragraph" w:styleId="1031">
    <w:name w:val="Приветствие"/>
    <w:basedOn w:val="970"/>
    <w:next w:val="970"/>
    <w:link w:val="1032"/>
  </w:style>
  <w:style w:type="character" w:styleId="1032">
    <w:name w:val="Приветствие Знак"/>
    <w:next w:val="1032"/>
    <w:link w:val="1031"/>
    <w:rPr>
      <w:sz w:val="28"/>
      <w:szCs w:val="24"/>
      <w:lang w:val="ru-RU" w:eastAsia="ru-RU" w:bidi="ar-SA"/>
    </w:rPr>
  </w:style>
  <w:style w:type="paragraph" w:styleId="1033">
    <w:name w:val="Прощание"/>
    <w:basedOn w:val="970"/>
    <w:next w:val="1033"/>
    <w:link w:val="1034"/>
    <w:pPr>
      <w:ind w:left="4252"/>
    </w:pPr>
  </w:style>
  <w:style w:type="character" w:styleId="1034">
    <w:name w:val="Прощание Знак"/>
    <w:next w:val="1034"/>
    <w:link w:val="1033"/>
    <w:rPr>
      <w:sz w:val="28"/>
      <w:szCs w:val="24"/>
      <w:lang w:val="ru-RU" w:eastAsia="ru-RU" w:bidi="ar-SA"/>
    </w:rPr>
  </w:style>
  <w:style w:type="paragraph" w:styleId="1035">
    <w:name w:val="Стандартный HTML"/>
    <w:basedOn w:val="970"/>
    <w:next w:val="1035"/>
    <w:link w:val="1036"/>
    <w:rPr>
      <w:rFonts w:ascii="Courier New" w:hAnsi="Courier New" w:cs="Courier New"/>
      <w:sz w:val="20"/>
      <w:szCs w:val="20"/>
    </w:rPr>
  </w:style>
  <w:style w:type="character" w:styleId="1036">
    <w:name w:val="Стандартный HTML Знак"/>
    <w:next w:val="1036"/>
    <w:link w:val="1035"/>
    <w:rPr>
      <w:rFonts w:ascii="Courier New" w:hAnsi="Courier New" w:cs="Courier New"/>
      <w:lang w:val="ru-RU" w:eastAsia="ru-RU" w:bidi="ar-SA"/>
    </w:rPr>
  </w:style>
  <w:style w:type="paragraph" w:styleId="1037">
    <w:name w:val="Текст"/>
    <w:basedOn w:val="970"/>
    <w:next w:val="1037"/>
    <w:link w:val="1038"/>
    <w:rPr>
      <w:rFonts w:ascii="Courier New" w:hAnsi="Courier New" w:cs="Courier New"/>
      <w:sz w:val="20"/>
      <w:szCs w:val="20"/>
    </w:rPr>
  </w:style>
  <w:style w:type="character" w:styleId="1038">
    <w:name w:val="Текст Знак"/>
    <w:next w:val="1038"/>
    <w:link w:val="1037"/>
    <w:rPr>
      <w:rFonts w:ascii="Courier New" w:hAnsi="Courier New" w:cs="Courier New"/>
      <w:lang w:val="ru-RU" w:eastAsia="ru-RU" w:bidi="ar-SA"/>
    </w:rPr>
  </w:style>
  <w:style w:type="paragraph" w:styleId="1039">
    <w:name w:val="Шапка"/>
    <w:basedOn w:val="970"/>
    <w:next w:val="1039"/>
    <w:link w:val="1040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Arial" w:hAnsi="Arial" w:cs="Arial"/>
    </w:rPr>
  </w:style>
  <w:style w:type="character" w:styleId="1040">
    <w:name w:val="Шапка Знак"/>
    <w:next w:val="1040"/>
    <w:link w:val="1039"/>
    <w:rPr>
      <w:rFonts w:ascii="Arial" w:hAnsi="Arial" w:cs="Arial"/>
      <w:sz w:val="28"/>
      <w:szCs w:val="24"/>
      <w:lang w:val="ru-RU" w:eastAsia="ru-RU" w:bidi="ar-SA"/>
    </w:rPr>
  </w:style>
  <w:style w:type="paragraph" w:styleId="1041">
    <w:name w:val="Электронная подпись"/>
    <w:basedOn w:val="970"/>
    <w:next w:val="1041"/>
    <w:link w:val="1042"/>
  </w:style>
  <w:style w:type="character" w:styleId="1042">
    <w:name w:val="Электронная подпись Знак"/>
    <w:next w:val="1042"/>
    <w:link w:val="1041"/>
    <w:rPr>
      <w:sz w:val="28"/>
      <w:szCs w:val="24"/>
      <w:lang w:val="ru-RU" w:eastAsia="ru-RU" w:bidi="ar-SA"/>
    </w:rPr>
  </w:style>
  <w:style w:type="paragraph" w:styleId="1043">
    <w:name w:val="!Iniiaiie oaeno"/>
    <w:basedOn w:val="970"/>
    <w:next w:val="1043"/>
    <w:link w:val="1044"/>
    <w:pPr>
      <w:ind w:right="51" w:firstLine="709"/>
      <w:widowControl w:val="off"/>
    </w:pPr>
    <w:rPr>
      <w:sz w:val="24"/>
    </w:rPr>
  </w:style>
  <w:style w:type="character" w:styleId="1044">
    <w:name w:val="!Iniiaiie oaeno Знак"/>
    <w:next w:val="1044"/>
    <w:link w:val="1043"/>
    <w:rPr>
      <w:sz w:val="24"/>
      <w:szCs w:val="24"/>
      <w:lang w:val="ru-RU" w:eastAsia="ru-RU" w:bidi="ar-SA"/>
    </w:rPr>
  </w:style>
  <w:style w:type="paragraph" w:styleId="1045">
    <w:name w:val="!Iaca.aeaa aieoiaioa"/>
    <w:basedOn w:val="970"/>
    <w:next w:val="1045"/>
    <w:link w:val="970"/>
    <w:pPr>
      <w:ind w:right="51" w:firstLine="0"/>
      <w:jc w:val="center"/>
      <w:spacing w:after="240"/>
    </w:pPr>
    <w:rPr>
      <w:b/>
      <w:caps/>
      <w:sz w:val="24"/>
      <w:szCs w:val="20"/>
    </w:rPr>
  </w:style>
  <w:style w:type="paragraph" w:styleId="1046">
    <w:name w:val="Iau?iue1"/>
    <w:next w:val="1046"/>
    <w:link w:val="970"/>
    <w:pPr>
      <w:ind w:right="51"/>
      <w:jc w:val="both"/>
    </w:pPr>
    <w:rPr>
      <w:rFonts w:ascii="Arial" w:hAnsi="Arial" w:cs="Arial"/>
      <w:lang w:val="ru-RU" w:eastAsia="ru-RU" w:bidi="ar-SA"/>
    </w:rPr>
  </w:style>
  <w:style w:type="paragraph" w:styleId="1047">
    <w:name w:val="Обычный1"/>
    <w:next w:val="1047"/>
    <w:link w:val="970"/>
    <w:pPr>
      <w:ind w:right="51" w:firstLine="567"/>
      <w:jc w:val="both"/>
      <w:spacing w:before="120" w:after="120"/>
      <w:widowControl w:val="off"/>
    </w:pPr>
    <w:rPr>
      <w:szCs w:val="24"/>
      <w:lang w:val="ru-RU" w:eastAsia="ru-RU" w:bidi="ar-SA"/>
    </w:rPr>
  </w:style>
  <w:style w:type="paragraph" w:styleId="1048">
    <w:name w:val="Подзаголовок"/>
    <w:basedOn w:val="970"/>
    <w:next w:val="1048"/>
    <w:link w:val="1049"/>
    <w:qFormat/>
    <w:pPr>
      <w:ind w:right="51" w:firstLine="0"/>
      <w:jc w:val="center"/>
      <w:spacing w:after="60"/>
      <w:outlineLvl w:val="1"/>
    </w:pPr>
    <w:rPr>
      <w:rFonts w:ascii="Arial" w:hAnsi="Arial"/>
      <w:sz w:val="24"/>
      <w:szCs w:val="20"/>
    </w:rPr>
  </w:style>
  <w:style w:type="character" w:styleId="1049">
    <w:name w:val="Подзаголовок Знак"/>
    <w:next w:val="1049"/>
    <w:link w:val="1048"/>
    <w:rPr>
      <w:rFonts w:ascii="Arial" w:hAnsi="Arial"/>
      <w:sz w:val="24"/>
      <w:lang w:val="ru-RU" w:eastAsia="ru-RU" w:bidi="ar-SA"/>
    </w:rPr>
  </w:style>
  <w:style w:type="paragraph" w:styleId="1050">
    <w:name w:val="Заголовок 2 жирный"/>
    <w:basedOn w:val="972"/>
    <w:next w:val="1050"/>
    <w:link w:val="1051"/>
    <w:pPr>
      <w:numPr>
        <w:ilvl w:val="0"/>
        <w:numId w:val="0"/>
      </w:numPr>
      <w:ind w:left="1142" w:right="51" w:hanging="1142"/>
      <w:jc w:val="both"/>
      <w:keepNext w:val="0"/>
      <w:spacing w:before="0" w:after="0"/>
      <w:tabs>
        <w:tab w:val="num" w:pos="0" w:leader="none"/>
      </w:tabs>
    </w:pPr>
    <w:rPr>
      <w:smallCaps w:val="0"/>
      <w:sz w:val="28"/>
    </w:rPr>
  </w:style>
  <w:style w:type="character" w:styleId="1051">
    <w:name w:val="Заголовок 2 жирный Знак"/>
    <w:next w:val="1051"/>
    <w:link w:val="1050"/>
    <w:rPr>
      <w:b/>
      <w:bCs/>
      <w:sz w:val="28"/>
      <w:szCs w:val="28"/>
      <w:lang w:val="ru-RU" w:eastAsia="ru-RU" w:bidi="ar-SA"/>
    </w:rPr>
  </w:style>
  <w:style w:type="paragraph" w:styleId="1052">
    <w:name w:val="Заголовок 4 нежирный"/>
    <w:basedOn w:val="974"/>
    <w:next w:val="1052"/>
    <w:link w:val="1053"/>
    <w:pPr>
      <w:ind w:right="-1" w:firstLine="709"/>
      <w:spacing w:before="0" w:after="0"/>
      <w:tabs>
        <w:tab w:val="num" w:pos="360" w:leader="none"/>
        <w:tab w:val="num" w:pos="720" w:leader="none"/>
        <w:tab w:val="left" w:pos="993" w:leader="none"/>
        <w:tab w:val="clear" w:pos="1134" w:leader="none"/>
        <w:tab w:val="clear" w:pos="2880" w:leader="none"/>
      </w:tabs>
    </w:pPr>
    <w:rPr>
      <w:spacing w:val="-10"/>
      <w:sz w:val="24"/>
    </w:rPr>
  </w:style>
  <w:style w:type="character" w:styleId="1053">
    <w:name w:val="Заголовок 4 нежирный Знак"/>
    <w:next w:val="1053"/>
    <w:link w:val="1052"/>
    <w:rPr>
      <w:b/>
      <w:bCs/>
      <w:i/>
      <w:iCs/>
      <w:spacing w:val="-10"/>
      <w:sz w:val="24"/>
      <w:szCs w:val="24"/>
      <w:lang w:val="ru-RU" w:eastAsia="ru-RU" w:bidi="ar-SA"/>
    </w:rPr>
  </w:style>
  <w:style w:type="paragraph" w:styleId="1054">
    <w:name w:val="Тендерные данные"/>
    <w:basedOn w:val="970"/>
    <w:next w:val="1054"/>
    <w:link w:val="970"/>
    <w:semiHidden/>
    <w:pPr>
      <w:ind w:right="51" w:firstLine="0"/>
      <w:spacing w:before="120" w:after="60"/>
      <w:tabs>
        <w:tab w:val="left" w:pos="1985" w:leader="none"/>
      </w:tabs>
    </w:pPr>
    <w:rPr>
      <w:b/>
      <w:sz w:val="24"/>
      <w:szCs w:val="20"/>
    </w:rPr>
  </w:style>
  <w:style w:type="paragraph" w:styleId="1055">
    <w:name w:val="Абзац списка"/>
    <w:basedOn w:val="970"/>
    <w:next w:val="1055"/>
    <w:link w:val="970"/>
    <w:qFormat/>
    <w:pPr>
      <w:ind w:left="708" w:firstLine="0"/>
      <w:jc w:val="left"/>
      <w:spacing w:after="200" w:line="276" w:lineRule="auto"/>
    </w:pPr>
    <w:rPr>
      <w:rFonts w:ascii="Calibri" w:hAnsi="Calibri"/>
      <w:sz w:val="22"/>
      <w:szCs w:val="22"/>
    </w:rPr>
  </w:style>
  <w:style w:type="paragraph" w:styleId="1056">
    <w:name w:val="???????1"/>
    <w:next w:val="1056"/>
    <w:link w:val="970"/>
    <w:rPr>
      <w:rFonts w:eastAsia="Calibri"/>
      <w:lang w:val="ru-RU" w:eastAsia="ru-RU" w:bidi="ar-SA"/>
    </w:rPr>
  </w:style>
  <w:style w:type="paragraph" w:styleId="1057">
    <w:name w:val="Таблица текст"/>
    <w:basedOn w:val="970"/>
    <w:next w:val="1057"/>
    <w:link w:val="970"/>
    <w:pPr>
      <w:ind w:left="57" w:right="57" w:firstLine="0"/>
      <w:jc w:val="left"/>
      <w:spacing w:before="40" w:after="40"/>
    </w:pPr>
    <w:rPr>
      <w:rFonts w:eastAsia="Calibri"/>
      <w:bCs/>
      <w:sz w:val="24"/>
      <w:szCs w:val="22"/>
    </w:rPr>
  </w:style>
  <w:style w:type="paragraph" w:styleId="1058">
    <w:name w:val="Контракт-пункт"/>
    <w:basedOn w:val="970"/>
    <w:next w:val="1058"/>
    <w:link w:val="970"/>
    <w:pPr>
      <w:ind w:left="851" w:hanging="851"/>
      <w:spacing w:line="360" w:lineRule="auto"/>
      <w:tabs>
        <w:tab w:val="num" w:pos="851" w:leader="none"/>
        <w:tab w:val="left" w:pos="1134" w:leader="none"/>
      </w:tabs>
    </w:pPr>
    <w:rPr>
      <w:sz w:val="24"/>
      <w:szCs w:val="28"/>
    </w:rPr>
  </w:style>
  <w:style w:type="character" w:styleId="1059">
    <w:name w:val="Гиперссылка"/>
    <w:next w:val="1059"/>
    <w:link w:val="970"/>
    <w:uiPriority w:val="99"/>
    <w:rPr>
      <w:color w:val="0000ff"/>
      <w:u w:val="single"/>
    </w:rPr>
  </w:style>
  <w:style w:type="character" w:styleId="1060">
    <w:name w:val="комментарий"/>
    <w:next w:val="1060"/>
    <w:link w:val="970"/>
    <w:rPr>
      <w:rFonts w:cs="Times New Roman"/>
      <w:i/>
      <w:u w:val="none"/>
      <w:shd w:val="clear" w:color="auto" w:fill="ffff99"/>
    </w:rPr>
  </w:style>
  <w:style w:type="paragraph" w:styleId="1061">
    <w:name w:val="самый обычный"/>
    <w:basedOn w:val="970"/>
    <w:next w:val="1061"/>
    <w:link w:val="1062"/>
    <w:qFormat/>
    <w:pPr>
      <w:ind w:firstLine="709"/>
    </w:pPr>
    <w:rPr>
      <w:szCs w:val="28"/>
    </w:rPr>
  </w:style>
  <w:style w:type="character" w:styleId="1062">
    <w:name w:val="самый обычный Знак"/>
    <w:next w:val="1062"/>
    <w:link w:val="1061"/>
    <w:rPr>
      <w:sz w:val="28"/>
      <w:szCs w:val="28"/>
    </w:rPr>
  </w:style>
  <w:style w:type="character" w:styleId="1063" w:default="1">
    <w:name w:val="Default Paragraph Font"/>
    <w:uiPriority w:val="1"/>
    <w:semiHidden/>
    <w:unhideWhenUsed/>
  </w:style>
  <w:style w:type="numbering" w:styleId="1064" w:default="1">
    <w:name w:val="No List"/>
    <w:uiPriority w:val="99"/>
    <w:semiHidden/>
    <w:unhideWhenUsed/>
  </w:style>
  <w:style w:type="table" w:styleId="10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TegitEA</cp:lastModifiedBy>
  <cp:revision>4</cp:revision>
  <dcterms:created xsi:type="dcterms:W3CDTF">2021-10-14T08:08:00Z</dcterms:created>
  <dcterms:modified xsi:type="dcterms:W3CDTF">2025-08-08T03:16:29Z</dcterms:modified>
  <cp:version>1048576</cp:version>
</cp:coreProperties>
</file>